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F9FCB">
      <w:pPr>
        <w:keepNext w:val="0"/>
        <w:keepLines w:val="0"/>
        <w:pageBreakBefore w:val="0"/>
        <w:tabs>
          <w:tab w:val="left" w:pos="4425"/>
        </w:tabs>
        <w:kinsoku/>
        <w:wordWrap/>
        <w:overflowPunct/>
        <w:topLinePunct w:val="0"/>
        <w:bidi w:val="0"/>
        <w:spacing w:line="570" w:lineRule="exact"/>
        <w:jc w:val="center"/>
        <w:textAlignment w:val="auto"/>
        <w:outlineLvl w:val="0"/>
        <w:rPr>
          <w:rFonts w:hint="eastAsia" w:asciiTheme="minorEastAsia" w:hAnsiTheme="minorEastAsia" w:eastAsiaTheme="minorEastAsia" w:cstheme="minorEastAsia"/>
          <w:b/>
          <w:color w:val="000000"/>
          <w:kern w:val="44"/>
          <w:sz w:val="36"/>
          <w:szCs w:val="36"/>
        </w:rPr>
      </w:pPr>
      <w:r>
        <w:rPr>
          <w:rFonts w:hint="eastAsia" w:asciiTheme="minorEastAsia" w:hAnsiTheme="minorEastAsia" w:eastAsiaTheme="minorEastAsia" w:cstheme="minorEastAsia"/>
          <w:b/>
          <w:color w:val="000000"/>
          <w:kern w:val="44"/>
          <w:sz w:val="36"/>
          <w:szCs w:val="36"/>
        </w:rPr>
        <w:t>广州市从化区中医医院信息系统维保项目</w:t>
      </w:r>
    </w:p>
    <w:p w14:paraId="43021CBE">
      <w:pPr>
        <w:keepNext w:val="0"/>
        <w:keepLines w:val="0"/>
        <w:pageBreakBefore w:val="0"/>
        <w:tabs>
          <w:tab w:val="left" w:pos="4425"/>
        </w:tabs>
        <w:kinsoku/>
        <w:wordWrap/>
        <w:overflowPunct/>
        <w:topLinePunct w:val="0"/>
        <w:bidi w:val="0"/>
        <w:spacing w:before="60" w:after="60" w:line="570" w:lineRule="exact"/>
        <w:jc w:val="center"/>
        <w:textAlignment w:val="auto"/>
        <w:outlineLvl w:val="0"/>
        <w:rPr>
          <w:rFonts w:hint="eastAsia" w:asciiTheme="minorEastAsia" w:hAnsiTheme="minorEastAsia" w:eastAsiaTheme="minorEastAsia" w:cstheme="minorEastAsia"/>
          <w:b/>
          <w:color w:val="000000"/>
          <w:kern w:val="44"/>
          <w:sz w:val="36"/>
          <w:szCs w:val="36"/>
        </w:rPr>
      </w:pPr>
      <w:r>
        <w:rPr>
          <w:rFonts w:hint="eastAsia" w:asciiTheme="minorEastAsia" w:hAnsiTheme="minorEastAsia" w:eastAsiaTheme="minorEastAsia" w:cstheme="minorEastAsia"/>
          <w:b/>
          <w:color w:val="000000"/>
          <w:kern w:val="44"/>
          <w:sz w:val="36"/>
          <w:szCs w:val="36"/>
        </w:rPr>
        <w:t>服务需求</w:t>
      </w:r>
    </w:p>
    <w:p w14:paraId="43157160">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一、运维服务目标</w:t>
      </w:r>
    </w:p>
    <w:p w14:paraId="0E858B94">
      <w:pPr>
        <w:keepNext w:val="0"/>
        <w:keepLines w:val="0"/>
        <w:pageBreakBefore w:val="0"/>
        <w:kinsoku/>
        <w:wordWrap/>
        <w:overflowPunct/>
        <w:topLinePunct w:val="0"/>
        <w:bidi w:val="0"/>
        <w:spacing w:line="570" w:lineRule="exact"/>
        <w:ind w:firstLine="480" w:firstLineChars="200"/>
        <w:textAlignment w:val="auto"/>
        <w:rPr>
          <w:rFonts w:hint="eastAsia" w:eastAsia="宋体"/>
          <w:lang w:eastAsia="zh-CN"/>
        </w:rPr>
      </w:pPr>
      <w:r>
        <w:rPr>
          <w:rFonts w:hint="eastAsia" w:hAnsi="宋体"/>
          <w:lang w:eastAsia="zh-CN"/>
        </w:rPr>
        <w:t>保障现有信息系统及系统软件的稳定运行，确保医院各项业务工作顺利开展；根据实际工作需要适当调整部分业务系统流程，保障信息系统7*24小时不间断运行；若系统出现故障，及时排除或缓解问题，使系统恢复正常运行，充分保障群众的医疗权益。</w:t>
      </w:r>
    </w:p>
    <w:p w14:paraId="4EBEDD13">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二、运维服务项目内容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459"/>
        <w:gridCol w:w="936"/>
        <w:gridCol w:w="5594"/>
      </w:tblGrid>
      <w:tr w14:paraId="7E1D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Align w:val="center"/>
          </w:tcPr>
          <w:p w14:paraId="0B33F96C">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序号</w:t>
            </w:r>
          </w:p>
        </w:tc>
        <w:tc>
          <w:tcPr>
            <w:tcW w:w="0" w:type="auto"/>
            <w:vAlign w:val="center"/>
          </w:tcPr>
          <w:p w14:paraId="63F45DB4">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服务内容</w:t>
            </w:r>
          </w:p>
        </w:tc>
        <w:tc>
          <w:tcPr>
            <w:tcW w:w="936" w:type="dxa"/>
            <w:vAlign w:val="center"/>
          </w:tcPr>
          <w:p w14:paraId="30BBA872">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数量</w:t>
            </w:r>
          </w:p>
          <w:p w14:paraId="2A39E007">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（项）</w:t>
            </w:r>
          </w:p>
        </w:tc>
        <w:tc>
          <w:tcPr>
            <w:tcW w:w="5594" w:type="dxa"/>
            <w:vAlign w:val="center"/>
          </w:tcPr>
          <w:p w14:paraId="09543261">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备注</w:t>
            </w:r>
          </w:p>
        </w:tc>
      </w:tr>
      <w:tr w14:paraId="5F1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0" w:type="auto"/>
            <w:vAlign w:val="center"/>
          </w:tcPr>
          <w:p w14:paraId="4AA3B903">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1</w:t>
            </w:r>
          </w:p>
          <w:p w14:paraId="7476601B">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p>
        </w:tc>
        <w:tc>
          <w:tcPr>
            <w:tcW w:w="0" w:type="auto"/>
            <w:vAlign w:val="center"/>
          </w:tcPr>
          <w:p w14:paraId="69D42888">
            <w:pPr>
              <w:keepNext w:val="0"/>
              <w:keepLines w:val="0"/>
              <w:pageBreakBefore w:val="0"/>
              <w:kinsoku/>
              <w:wordWrap/>
              <w:overflowPunct/>
              <w:topLinePunct w:val="0"/>
              <w:bidi w:val="0"/>
              <w:spacing w:line="570" w:lineRule="exact"/>
              <w:contextualSpacing/>
              <w:jc w:val="both"/>
              <w:textAlignment w:val="auto"/>
              <w:rPr>
                <w:rFonts w:hint="eastAsia" w:hAnsi="宋体"/>
                <w:kern w:val="2"/>
              </w:rPr>
            </w:pPr>
            <w:r>
              <w:rPr>
                <w:rFonts w:hint="eastAsia" w:hAnsi="宋体"/>
                <w:kern w:val="2"/>
              </w:rPr>
              <w:t>医院信息系统</w:t>
            </w:r>
            <w:r>
              <w:rPr>
                <w:rFonts w:hint="eastAsia" w:hAnsi="宋体"/>
                <w:kern w:val="2"/>
                <w:lang w:val="en-US" w:eastAsia="zh-CN"/>
              </w:rPr>
              <w:t>及</w:t>
            </w:r>
            <w:r>
              <w:rPr>
                <w:rFonts w:hint="eastAsia" w:hAnsi="宋体"/>
                <w:kern w:val="2"/>
              </w:rPr>
              <w:t>数据库运维服务</w:t>
            </w:r>
          </w:p>
        </w:tc>
        <w:tc>
          <w:tcPr>
            <w:tcW w:w="936" w:type="dxa"/>
            <w:vAlign w:val="center"/>
          </w:tcPr>
          <w:p w14:paraId="69F852EC">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r>
              <w:rPr>
                <w:rFonts w:hint="eastAsia" w:hAnsi="宋体"/>
                <w:kern w:val="2"/>
              </w:rPr>
              <w:t>1</w:t>
            </w:r>
          </w:p>
          <w:p w14:paraId="0B6E145A">
            <w:pPr>
              <w:keepNext w:val="0"/>
              <w:keepLines w:val="0"/>
              <w:pageBreakBefore w:val="0"/>
              <w:kinsoku/>
              <w:wordWrap/>
              <w:overflowPunct/>
              <w:topLinePunct w:val="0"/>
              <w:bidi w:val="0"/>
              <w:spacing w:line="570" w:lineRule="exact"/>
              <w:contextualSpacing/>
              <w:jc w:val="center"/>
              <w:textAlignment w:val="auto"/>
              <w:rPr>
                <w:rFonts w:hint="eastAsia" w:hAnsi="宋体"/>
                <w:kern w:val="2"/>
              </w:rPr>
            </w:pPr>
          </w:p>
        </w:tc>
        <w:tc>
          <w:tcPr>
            <w:tcW w:w="5594" w:type="dxa"/>
            <w:vAlign w:val="center"/>
          </w:tcPr>
          <w:p w14:paraId="444566F5">
            <w:pPr>
              <w:keepNext w:val="0"/>
              <w:keepLines w:val="0"/>
              <w:pageBreakBefore w:val="0"/>
              <w:kinsoku/>
              <w:wordWrap/>
              <w:overflowPunct/>
              <w:topLinePunct w:val="0"/>
              <w:bidi w:val="0"/>
              <w:spacing w:line="570" w:lineRule="exact"/>
              <w:contextualSpacing/>
              <w:jc w:val="left"/>
              <w:textAlignment w:val="auto"/>
              <w:rPr>
                <w:rFonts w:hint="default" w:hAnsi="宋体" w:eastAsia="宋体"/>
                <w:kern w:val="2"/>
                <w:lang w:val="en-US" w:eastAsia="zh-CN"/>
              </w:rPr>
            </w:pPr>
            <w:r>
              <w:rPr>
                <w:rFonts w:hint="eastAsia" w:hAnsi="宋体"/>
                <w:kern w:val="2"/>
                <w:lang w:val="en-US" w:eastAsia="zh-CN"/>
              </w:rPr>
              <w:t>服务期1年。</w:t>
            </w:r>
          </w:p>
          <w:p w14:paraId="1FA65706">
            <w:pPr>
              <w:keepNext w:val="0"/>
              <w:keepLines w:val="0"/>
              <w:pageBreakBefore w:val="0"/>
              <w:kinsoku/>
              <w:wordWrap/>
              <w:overflowPunct/>
              <w:topLinePunct w:val="0"/>
              <w:bidi w:val="0"/>
              <w:spacing w:line="570" w:lineRule="exact"/>
              <w:contextualSpacing/>
              <w:jc w:val="left"/>
              <w:textAlignment w:val="auto"/>
              <w:rPr>
                <w:rFonts w:hint="eastAsia" w:hAnsi="宋体"/>
                <w:kern w:val="2"/>
              </w:rPr>
            </w:pPr>
            <w:r>
              <w:rPr>
                <w:rFonts w:hint="eastAsia" w:hAnsi="宋体"/>
                <w:kern w:val="2"/>
              </w:rPr>
              <w:t>提供HIS系统、LIS系统、PACS系统、EMR系统运维及相应接口</w:t>
            </w:r>
            <w:r>
              <w:rPr>
                <w:rFonts w:hint="eastAsia" w:hAnsi="宋体"/>
                <w:kern w:val="2"/>
                <w:lang w:val="en-US" w:eastAsia="zh-CN"/>
              </w:rPr>
              <w:t>运维</w:t>
            </w:r>
            <w:r>
              <w:rPr>
                <w:rFonts w:hint="eastAsia" w:hAnsi="宋体"/>
                <w:kern w:val="2"/>
              </w:rPr>
              <w:t>服务</w:t>
            </w:r>
            <w:r>
              <w:rPr>
                <w:rFonts w:hint="eastAsia" w:hAnsi="宋体"/>
                <w:kern w:val="2"/>
                <w:lang w:eastAsia="zh-CN"/>
              </w:rPr>
              <w:t>；</w:t>
            </w:r>
            <w:r>
              <w:rPr>
                <w:rFonts w:hint="eastAsia" w:hAnsi="宋体"/>
                <w:kern w:val="2"/>
              </w:rPr>
              <w:t>提供HIS、LIS、PACS、EMR系统数据库</w:t>
            </w:r>
            <w:r>
              <w:rPr>
                <w:rFonts w:hint="eastAsia" w:hAnsi="宋体"/>
                <w:kern w:val="2"/>
                <w:lang w:val="en-US" w:eastAsia="zh-CN"/>
              </w:rPr>
              <w:t>1</w:t>
            </w:r>
            <w:r>
              <w:rPr>
                <w:rFonts w:hint="eastAsia" w:hAnsi="宋体"/>
                <w:kern w:val="2"/>
              </w:rPr>
              <w:t>年4次上门数据库巡检及不定期远程运维服务。</w:t>
            </w:r>
          </w:p>
        </w:tc>
      </w:tr>
    </w:tbl>
    <w:p w14:paraId="14E32FC0">
      <w:pPr>
        <w:keepNext w:val="0"/>
        <w:keepLines w:val="0"/>
        <w:pageBreakBefore w:val="0"/>
        <w:kinsoku/>
        <w:wordWrap/>
        <w:overflowPunct/>
        <w:topLinePunct w:val="0"/>
        <w:bidi w:val="0"/>
        <w:spacing w:before="156" w:beforeLines="50" w:after="156" w:afterLines="50" w:line="570" w:lineRule="exact"/>
        <w:textAlignment w:val="auto"/>
        <w:rPr>
          <w:rFonts w:hint="eastAsia" w:hAnsi="宋体" w:cs="宋体"/>
          <w:b/>
        </w:rPr>
      </w:pPr>
      <w:r>
        <w:rPr>
          <w:rFonts w:hint="eastAsia" w:hAnsi="宋体" w:cs="宋体"/>
          <w:b/>
          <w:lang w:eastAsia="zh-CN"/>
        </w:rPr>
        <w:t>（</w:t>
      </w:r>
      <w:r>
        <w:rPr>
          <w:rFonts w:hint="eastAsia" w:hAnsi="宋体" w:cs="宋体"/>
          <w:b/>
          <w:lang w:val="en-US" w:eastAsia="zh-CN"/>
        </w:rPr>
        <w:t>一</w:t>
      </w:r>
      <w:r>
        <w:rPr>
          <w:rFonts w:hint="eastAsia" w:hAnsi="宋体" w:cs="宋体"/>
          <w:b/>
          <w:lang w:eastAsia="zh-CN"/>
        </w:rPr>
        <w:t>）</w:t>
      </w:r>
      <w:r>
        <w:rPr>
          <w:rFonts w:hint="eastAsia" w:hAnsi="宋体" w:cs="宋体"/>
          <w:b/>
        </w:rPr>
        <w:t>医院信息系统运维</w:t>
      </w:r>
    </w:p>
    <w:p w14:paraId="6AABA3FA">
      <w:pPr>
        <w:keepNext w:val="0"/>
        <w:keepLines w:val="0"/>
        <w:pageBreakBefore w:val="0"/>
        <w:kinsoku/>
        <w:wordWrap/>
        <w:overflowPunct/>
        <w:topLinePunct w:val="0"/>
        <w:bidi w:val="0"/>
        <w:spacing w:before="156" w:beforeLines="50" w:after="156" w:afterLines="50" w:line="570" w:lineRule="exact"/>
        <w:ind w:firstLine="0" w:firstLineChars="0"/>
        <w:textAlignment w:val="auto"/>
        <w:rPr>
          <w:rFonts w:hint="eastAsia" w:hAnsi="宋体" w:eastAsia="宋体" w:cs="宋体"/>
          <w:b/>
          <w:lang w:eastAsia="zh-CN"/>
        </w:rPr>
      </w:pPr>
      <w:r>
        <w:rPr>
          <w:rFonts w:hint="eastAsia" w:hAnsi="宋体" w:cs="宋体"/>
          <w:b/>
          <w:lang w:val="en-US" w:eastAsia="zh-CN"/>
        </w:rPr>
        <w:t>1</w:t>
      </w:r>
      <w:r>
        <w:rPr>
          <w:rFonts w:hint="eastAsia" w:hAnsi="宋体" w:cs="宋体"/>
          <w:b/>
          <w:lang w:eastAsia="zh-CN"/>
        </w:rPr>
        <w:t xml:space="preserve">. </w:t>
      </w:r>
      <w:r>
        <w:rPr>
          <w:rFonts w:hint="eastAsia" w:hAnsi="宋体" w:cs="宋体"/>
          <w:b/>
        </w:rPr>
        <w:t>运维系统软件清单</w:t>
      </w:r>
      <w:r>
        <w:rPr>
          <w:rFonts w:hint="eastAsia" w:hAnsi="宋体" w:cs="宋体"/>
          <w:b/>
          <w:lang w:eastAsia="zh-CN"/>
        </w:rPr>
        <w:t>（</w:t>
      </w:r>
      <w:r>
        <w:rPr>
          <w:rFonts w:hint="eastAsia" w:hAnsi="宋体" w:cs="宋体"/>
          <w:b/>
        </w:rPr>
        <w:t>不在以</w:t>
      </w:r>
      <w:r>
        <w:rPr>
          <w:rFonts w:hint="eastAsia" w:hAnsi="宋体" w:cs="宋体"/>
          <w:b/>
          <w:lang w:val="en-US" w:eastAsia="zh-CN"/>
        </w:rPr>
        <w:t>下</w:t>
      </w:r>
      <w:r>
        <w:rPr>
          <w:rFonts w:hint="eastAsia" w:hAnsi="宋体" w:cs="宋体"/>
          <w:b/>
        </w:rPr>
        <w:t>范围内的</w:t>
      </w:r>
      <w:r>
        <w:rPr>
          <w:rFonts w:hint="eastAsia" w:hAnsi="宋体" w:cs="宋体"/>
          <w:b/>
          <w:lang w:eastAsia="zh-CN"/>
        </w:rPr>
        <w:t>，</w:t>
      </w:r>
      <w:r>
        <w:rPr>
          <w:rFonts w:hint="eastAsia" w:hAnsi="宋体" w:cs="宋体"/>
          <w:b/>
          <w:lang w:val="en-US" w:eastAsia="zh-CN"/>
        </w:rPr>
        <w:t>以医院实际使用为准）</w:t>
      </w:r>
    </w:p>
    <w:tbl>
      <w:tblPr>
        <w:tblStyle w:val="12"/>
        <w:tblW w:w="7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5021"/>
        <w:gridCol w:w="1392"/>
      </w:tblGrid>
      <w:tr w14:paraId="0537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5BE95BF">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序号</w:t>
            </w:r>
          </w:p>
        </w:tc>
        <w:tc>
          <w:tcPr>
            <w:tcW w:w="5021" w:type="dxa"/>
            <w:tcBorders>
              <w:top w:val="single" w:color="auto" w:sz="4" w:space="0"/>
              <w:left w:val="single" w:color="auto" w:sz="4" w:space="0"/>
              <w:bottom w:val="single" w:color="auto" w:sz="4" w:space="0"/>
              <w:right w:val="single" w:color="auto" w:sz="4" w:space="0"/>
            </w:tcBorders>
            <w:vAlign w:val="center"/>
          </w:tcPr>
          <w:p w14:paraId="0B8397C2">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模块名称</w:t>
            </w:r>
          </w:p>
        </w:tc>
        <w:tc>
          <w:tcPr>
            <w:tcW w:w="1392" w:type="dxa"/>
            <w:tcBorders>
              <w:top w:val="single" w:color="auto" w:sz="4" w:space="0"/>
              <w:left w:val="single" w:color="auto" w:sz="4" w:space="0"/>
              <w:bottom w:val="single" w:color="auto" w:sz="4" w:space="0"/>
              <w:right w:val="single" w:color="auto" w:sz="4" w:space="0"/>
            </w:tcBorders>
            <w:vAlign w:val="center"/>
          </w:tcPr>
          <w:p w14:paraId="52619902">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数量（套）</w:t>
            </w:r>
          </w:p>
        </w:tc>
      </w:tr>
      <w:tr w14:paraId="3371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4934380B">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356CADF">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门急诊挂号收费管理系统</w:t>
            </w:r>
          </w:p>
        </w:tc>
        <w:tc>
          <w:tcPr>
            <w:tcW w:w="1392" w:type="dxa"/>
            <w:tcBorders>
              <w:top w:val="single" w:color="auto" w:sz="4" w:space="0"/>
              <w:left w:val="single" w:color="auto" w:sz="4" w:space="0"/>
              <w:bottom w:val="single" w:color="auto" w:sz="4" w:space="0"/>
              <w:right w:val="single" w:color="auto" w:sz="4" w:space="0"/>
            </w:tcBorders>
          </w:tcPr>
          <w:p w14:paraId="63B1B4C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274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2514F93">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24667D77">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门诊药房信息系统</w:t>
            </w:r>
          </w:p>
        </w:tc>
        <w:tc>
          <w:tcPr>
            <w:tcW w:w="1392" w:type="dxa"/>
            <w:tcBorders>
              <w:top w:val="single" w:color="auto" w:sz="4" w:space="0"/>
              <w:left w:val="single" w:color="auto" w:sz="4" w:space="0"/>
              <w:bottom w:val="single" w:color="auto" w:sz="4" w:space="0"/>
              <w:right w:val="single" w:color="auto" w:sz="4" w:space="0"/>
            </w:tcBorders>
          </w:tcPr>
          <w:p w14:paraId="0AE80784">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94E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C79532B">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5788725">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门诊电子病历系统</w:t>
            </w:r>
          </w:p>
        </w:tc>
        <w:tc>
          <w:tcPr>
            <w:tcW w:w="1392" w:type="dxa"/>
            <w:tcBorders>
              <w:top w:val="single" w:color="auto" w:sz="4" w:space="0"/>
              <w:left w:val="single" w:color="auto" w:sz="4" w:space="0"/>
              <w:bottom w:val="single" w:color="auto" w:sz="4" w:space="0"/>
              <w:right w:val="single" w:color="auto" w:sz="4" w:space="0"/>
            </w:tcBorders>
          </w:tcPr>
          <w:p w14:paraId="6BE55DD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5E5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6ED1C4E">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1639B20">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排队叫号管理系统</w:t>
            </w:r>
          </w:p>
        </w:tc>
        <w:tc>
          <w:tcPr>
            <w:tcW w:w="1392" w:type="dxa"/>
            <w:tcBorders>
              <w:top w:val="single" w:color="auto" w:sz="4" w:space="0"/>
              <w:left w:val="single" w:color="auto" w:sz="4" w:space="0"/>
              <w:bottom w:val="single" w:color="auto" w:sz="4" w:space="0"/>
              <w:right w:val="single" w:color="auto" w:sz="4" w:space="0"/>
            </w:tcBorders>
          </w:tcPr>
          <w:p w14:paraId="1542FCB6">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3A53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FEFB928">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A9EDA1E">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门诊医生站系统</w:t>
            </w:r>
          </w:p>
        </w:tc>
        <w:tc>
          <w:tcPr>
            <w:tcW w:w="1392" w:type="dxa"/>
            <w:tcBorders>
              <w:top w:val="single" w:color="auto" w:sz="4" w:space="0"/>
              <w:left w:val="single" w:color="auto" w:sz="4" w:space="0"/>
              <w:bottom w:val="single" w:color="auto" w:sz="4" w:space="0"/>
              <w:right w:val="single" w:color="auto" w:sz="4" w:space="0"/>
            </w:tcBorders>
            <w:vAlign w:val="center"/>
          </w:tcPr>
          <w:p w14:paraId="3B229FA5">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3863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7272B82">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24BCD5A6">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门诊应急管理系统</w:t>
            </w:r>
          </w:p>
        </w:tc>
        <w:tc>
          <w:tcPr>
            <w:tcW w:w="1392" w:type="dxa"/>
            <w:tcBorders>
              <w:top w:val="single" w:color="auto" w:sz="4" w:space="0"/>
              <w:left w:val="single" w:color="auto" w:sz="4" w:space="0"/>
              <w:bottom w:val="single" w:color="auto" w:sz="4" w:space="0"/>
              <w:right w:val="single" w:color="auto" w:sz="4" w:space="0"/>
            </w:tcBorders>
          </w:tcPr>
          <w:p w14:paraId="7B5CF65A">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71CD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678715A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4457B7A3">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输液管理信息系统</w:t>
            </w:r>
          </w:p>
        </w:tc>
        <w:tc>
          <w:tcPr>
            <w:tcW w:w="1392" w:type="dxa"/>
            <w:tcBorders>
              <w:top w:val="single" w:color="auto" w:sz="4" w:space="0"/>
              <w:left w:val="single" w:color="auto" w:sz="4" w:space="0"/>
              <w:bottom w:val="single" w:color="auto" w:sz="4" w:space="0"/>
              <w:right w:val="single" w:color="auto" w:sz="4" w:space="0"/>
            </w:tcBorders>
            <w:vAlign w:val="center"/>
          </w:tcPr>
          <w:p w14:paraId="742CB29E">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68C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6A060A63">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4C96C2F">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住院护士站系统</w:t>
            </w:r>
          </w:p>
        </w:tc>
        <w:tc>
          <w:tcPr>
            <w:tcW w:w="1392" w:type="dxa"/>
            <w:tcBorders>
              <w:top w:val="single" w:color="auto" w:sz="4" w:space="0"/>
              <w:left w:val="single" w:color="auto" w:sz="4" w:space="0"/>
              <w:bottom w:val="single" w:color="auto" w:sz="4" w:space="0"/>
              <w:right w:val="single" w:color="auto" w:sz="4" w:space="0"/>
            </w:tcBorders>
          </w:tcPr>
          <w:p w14:paraId="3E47EFFC">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1A81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3BD0BF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6821BC4">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住院医生站系统</w:t>
            </w:r>
          </w:p>
        </w:tc>
        <w:tc>
          <w:tcPr>
            <w:tcW w:w="1392" w:type="dxa"/>
            <w:tcBorders>
              <w:top w:val="single" w:color="auto" w:sz="4" w:space="0"/>
              <w:left w:val="single" w:color="auto" w:sz="4" w:space="0"/>
              <w:bottom w:val="single" w:color="auto" w:sz="4" w:space="0"/>
              <w:right w:val="single" w:color="auto" w:sz="4" w:space="0"/>
            </w:tcBorders>
          </w:tcPr>
          <w:p w14:paraId="186FF7C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6C9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9403A3C">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006FFD1">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住院电子病历系统</w:t>
            </w:r>
          </w:p>
        </w:tc>
        <w:tc>
          <w:tcPr>
            <w:tcW w:w="1392" w:type="dxa"/>
            <w:tcBorders>
              <w:top w:val="single" w:color="auto" w:sz="4" w:space="0"/>
              <w:left w:val="single" w:color="auto" w:sz="4" w:space="0"/>
              <w:bottom w:val="single" w:color="auto" w:sz="4" w:space="0"/>
              <w:right w:val="single" w:color="auto" w:sz="4" w:space="0"/>
            </w:tcBorders>
          </w:tcPr>
          <w:p w14:paraId="1790BDAF">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867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0B349B2">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91EF733">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护理电子病历系统</w:t>
            </w:r>
          </w:p>
        </w:tc>
        <w:tc>
          <w:tcPr>
            <w:tcW w:w="1392" w:type="dxa"/>
            <w:tcBorders>
              <w:top w:val="single" w:color="auto" w:sz="4" w:space="0"/>
              <w:left w:val="single" w:color="auto" w:sz="4" w:space="0"/>
              <w:bottom w:val="single" w:color="auto" w:sz="4" w:space="0"/>
              <w:right w:val="single" w:color="auto" w:sz="4" w:space="0"/>
            </w:tcBorders>
          </w:tcPr>
          <w:p w14:paraId="53FE2895">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441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E4F562C">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64A99D04">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病历质控系统</w:t>
            </w:r>
          </w:p>
        </w:tc>
        <w:tc>
          <w:tcPr>
            <w:tcW w:w="1392" w:type="dxa"/>
            <w:tcBorders>
              <w:top w:val="single" w:color="auto" w:sz="4" w:space="0"/>
              <w:left w:val="single" w:color="auto" w:sz="4" w:space="0"/>
              <w:bottom w:val="single" w:color="auto" w:sz="4" w:space="0"/>
              <w:right w:val="single" w:color="auto" w:sz="4" w:space="0"/>
            </w:tcBorders>
          </w:tcPr>
          <w:p w14:paraId="59F983C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E87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1F0DFD3">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40C79558">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住院结算信息系统</w:t>
            </w:r>
          </w:p>
        </w:tc>
        <w:tc>
          <w:tcPr>
            <w:tcW w:w="1392" w:type="dxa"/>
            <w:tcBorders>
              <w:top w:val="single" w:color="auto" w:sz="4" w:space="0"/>
              <w:left w:val="single" w:color="auto" w:sz="4" w:space="0"/>
              <w:bottom w:val="single" w:color="auto" w:sz="4" w:space="0"/>
              <w:right w:val="single" w:color="auto" w:sz="4" w:space="0"/>
            </w:tcBorders>
            <w:vAlign w:val="center"/>
          </w:tcPr>
          <w:p w14:paraId="43B915D4">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311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53F2B05">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36210DF">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病区药房信息系统</w:t>
            </w:r>
          </w:p>
        </w:tc>
        <w:tc>
          <w:tcPr>
            <w:tcW w:w="1392" w:type="dxa"/>
            <w:tcBorders>
              <w:top w:val="single" w:color="auto" w:sz="4" w:space="0"/>
              <w:left w:val="single" w:color="auto" w:sz="4" w:space="0"/>
              <w:bottom w:val="single" w:color="auto" w:sz="4" w:space="0"/>
              <w:right w:val="single" w:color="auto" w:sz="4" w:space="0"/>
            </w:tcBorders>
          </w:tcPr>
          <w:p w14:paraId="542DFB60">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522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4E893B36">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1B16EED">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合理用药监测系统</w:t>
            </w:r>
          </w:p>
        </w:tc>
        <w:tc>
          <w:tcPr>
            <w:tcW w:w="1392" w:type="dxa"/>
            <w:tcBorders>
              <w:top w:val="single" w:color="auto" w:sz="4" w:space="0"/>
              <w:left w:val="single" w:color="auto" w:sz="4" w:space="0"/>
              <w:bottom w:val="single" w:color="auto" w:sz="4" w:space="0"/>
              <w:right w:val="single" w:color="auto" w:sz="4" w:space="0"/>
            </w:tcBorders>
          </w:tcPr>
          <w:p w14:paraId="0EF9183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F1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9681075">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84C25FC">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处方审核与点评系统</w:t>
            </w:r>
          </w:p>
        </w:tc>
        <w:tc>
          <w:tcPr>
            <w:tcW w:w="1392" w:type="dxa"/>
            <w:tcBorders>
              <w:top w:val="single" w:color="auto" w:sz="4" w:space="0"/>
              <w:left w:val="single" w:color="auto" w:sz="4" w:space="0"/>
              <w:bottom w:val="single" w:color="auto" w:sz="4" w:space="0"/>
              <w:right w:val="single" w:color="auto" w:sz="4" w:space="0"/>
            </w:tcBorders>
          </w:tcPr>
          <w:p w14:paraId="3C59E0FB">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678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55745DD">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02000A9">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抗菌药品使用与控制管理系统</w:t>
            </w:r>
          </w:p>
        </w:tc>
        <w:tc>
          <w:tcPr>
            <w:tcW w:w="1392" w:type="dxa"/>
            <w:tcBorders>
              <w:top w:val="single" w:color="auto" w:sz="4" w:space="0"/>
              <w:left w:val="single" w:color="auto" w:sz="4" w:space="0"/>
              <w:bottom w:val="single" w:color="auto" w:sz="4" w:space="0"/>
              <w:right w:val="single" w:color="auto" w:sz="4" w:space="0"/>
            </w:tcBorders>
          </w:tcPr>
          <w:p w14:paraId="36C610E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FD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3E9F0250">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5289120">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检验科室信息系统LIS</w:t>
            </w:r>
          </w:p>
        </w:tc>
        <w:tc>
          <w:tcPr>
            <w:tcW w:w="1392" w:type="dxa"/>
            <w:tcBorders>
              <w:top w:val="single" w:color="auto" w:sz="4" w:space="0"/>
              <w:left w:val="single" w:color="auto" w:sz="4" w:space="0"/>
              <w:bottom w:val="single" w:color="auto" w:sz="4" w:space="0"/>
              <w:right w:val="single" w:color="auto" w:sz="4" w:space="0"/>
            </w:tcBorders>
            <w:vAlign w:val="center"/>
          </w:tcPr>
          <w:p w14:paraId="30545F34">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6666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D795898">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53487C49">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PACS/RIS管理信息系统</w:t>
            </w:r>
          </w:p>
        </w:tc>
        <w:tc>
          <w:tcPr>
            <w:tcW w:w="1392" w:type="dxa"/>
            <w:tcBorders>
              <w:top w:val="single" w:color="auto" w:sz="4" w:space="0"/>
              <w:left w:val="single" w:color="auto" w:sz="4" w:space="0"/>
              <w:bottom w:val="single" w:color="auto" w:sz="4" w:space="0"/>
              <w:right w:val="single" w:color="auto" w:sz="4" w:space="0"/>
            </w:tcBorders>
          </w:tcPr>
          <w:p w14:paraId="1ED4D7C9">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3F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710A309">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44B3F3F">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 xml:space="preserve">超声科报告管理系统 </w:t>
            </w:r>
          </w:p>
        </w:tc>
        <w:tc>
          <w:tcPr>
            <w:tcW w:w="1392" w:type="dxa"/>
            <w:tcBorders>
              <w:top w:val="single" w:color="auto" w:sz="4" w:space="0"/>
              <w:left w:val="single" w:color="auto" w:sz="4" w:space="0"/>
              <w:bottom w:val="single" w:color="auto" w:sz="4" w:space="0"/>
              <w:right w:val="single" w:color="auto" w:sz="4" w:space="0"/>
            </w:tcBorders>
          </w:tcPr>
          <w:p w14:paraId="05C64FD2">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8DA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6D22B9E7">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6842D045">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心电报告管理系统</w:t>
            </w:r>
          </w:p>
        </w:tc>
        <w:tc>
          <w:tcPr>
            <w:tcW w:w="1392" w:type="dxa"/>
            <w:tcBorders>
              <w:top w:val="single" w:color="auto" w:sz="4" w:space="0"/>
              <w:left w:val="single" w:color="auto" w:sz="4" w:space="0"/>
              <w:bottom w:val="single" w:color="auto" w:sz="4" w:space="0"/>
              <w:right w:val="single" w:color="auto" w:sz="4" w:space="0"/>
            </w:tcBorders>
          </w:tcPr>
          <w:p w14:paraId="663CE2EC">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C55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BEB1563">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4A07C31">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内窥镜报告管理系统</w:t>
            </w:r>
          </w:p>
        </w:tc>
        <w:tc>
          <w:tcPr>
            <w:tcW w:w="1392" w:type="dxa"/>
            <w:tcBorders>
              <w:top w:val="single" w:color="auto" w:sz="4" w:space="0"/>
              <w:left w:val="single" w:color="auto" w:sz="4" w:space="0"/>
              <w:bottom w:val="single" w:color="auto" w:sz="4" w:space="0"/>
              <w:right w:val="single" w:color="auto" w:sz="4" w:space="0"/>
            </w:tcBorders>
          </w:tcPr>
          <w:p w14:paraId="1BC915C8">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74E3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405FF8C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CD8E3EF">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医技科室收费系统</w:t>
            </w:r>
          </w:p>
        </w:tc>
        <w:tc>
          <w:tcPr>
            <w:tcW w:w="1392" w:type="dxa"/>
            <w:tcBorders>
              <w:top w:val="single" w:color="auto" w:sz="4" w:space="0"/>
              <w:left w:val="single" w:color="auto" w:sz="4" w:space="0"/>
              <w:bottom w:val="single" w:color="auto" w:sz="4" w:space="0"/>
              <w:right w:val="single" w:color="auto" w:sz="4" w:space="0"/>
            </w:tcBorders>
          </w:tcPr>
          <w:p w14:paraId="67AD0D48">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A88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3A3FB17">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54E47CD8">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药库管理信息系统</w:t>
            </w:r>
          </w:p>
        </w:tc>
        <w:tc>
          <w:tcPr>
            <w:tcW w:w="1392" w:type="dxa"/>
            <w:tcBorders>
              <w:top w:val="single" w:color="auto" w:sz="4" w:space="0"/>
              <w:left w:val="single" w:color="auto" w:sz="4" w:space="0"/>
              <w:bottom w:val="single" w:color="auto" w:sz="4" w:space="0"/>
              <w:right w:val="single" w:color="auto" w:sz="4" w:space="0"/>
            </w:tcBorders>
          </w:tcPr>
          <w:p w14:paraId="5C963BFD">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6FE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9A7980A">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D8082A3">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物资库房信息系统</w:t>
            </w:r>
          </w:p>
        </w:tc>
        <w:tc>
          <w:tcPr>
            <w:tcW w:w="1392" w:type="dxa"/>
            <w:tcBorders>
              <w:top w:val="single" w:color="auto" w:sz="4" w:space="0"/>
              <w:left w:val="single" w:color="auto" w:sz="4" w:space="0"/>
              <w:bottom w:val="single" w:color="auto" w:sz="4" w:space="0"/>
              <w:right w:val="single" w:color="auto" w:sz="4" w:space="0"/>
            </w:tcBorders>
          </w:tcPr>
          <w:p w14:paraId="66207A3C">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163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610B92D0">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40C2E6D">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手术麻醉计费系统</w:t>
            </w:r>
          </w:p>
        </w:tc>
        <w:tc>
          <w:tcPr>
            <w:tcW w:w="1392" w:type="dxa"/>
            <w:tcBorders>
              <w:top w:val="single" w:color="auto" w:sz="4" w:space="0"/>
              <w:left w:val="single" w:color="auto" w:sz="4" w:space="0"/>
              <w:bottom w:val="single" w:color="auto" w:sz="4" w:space="0"/>
              <w:right w:val="single" w:color="auto" w:sz="4" w:space="0"/>
            </w:tcBorders>
          </w:tcPr>
          <w:p w14:paraId="325DBE8D">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D96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1C0B490">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58DB9D8D">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系统管理员维护系统</w:t>
            </w:r>
          </w:p>
        </w:tc>
        <w:tc>
          <w:tcPr>
            <w:tcW w:w="1392" w:type="dxa"/>
            <w:tcBorders>
              <w:top w:val="single" w:color="auto" w:sz="4" w:space="0"/>
              <w:left w:val="single" w:color="auto" w:sz="4" w:space="0"/>
              <w:bottom w:val="single" w:color="auto" w:sz="4" w:space="0"/>
              <w:right w:val="single" w:color="auto" w:sz="4" w:space="0"/>
            </w:tcBorders>
          </w:tcPr>
          <w:p w14:paraId="7C380EA0">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CE1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0FA5877">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2F20B8AE">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全院综合查询信息系统</w:t>
            </w:r>
          </w:p>
        </w:tc>
        <w:tc>
          <w:tcPr>
            <w:tcW w:w="1392" w:type="dxa"/>
            <w:tcBorders>
              <w:top w:val="single" w:color="auto" w:sz="4" w:space="0"/>
              <w:left w:val="single" w:color="auto" w:sz="4" w:space="0"/>
              <w:bottom w:val="single" w:color="auto" w:sz="4" w:space="0"/>
              <w:right w:val="single" w:color="auto" w:sz="4" w:space="0"/>
            </w:tcBorders>
          </w:tcPr>
          <w:p w14:paraId="1559B0D2">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6E28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73A2E9A">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6E1AA61B">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广州市医保接口</w:t>
            </w:r>
          </w:p>
        </w:tc>
        <w:tc>
          <w:tcPr>
            <w:tcW w:w="1392" w:type="dxa"/>
            <w:tcBorders>
              <w:top w:val="single" w:color="auto" w:sz="4" w:space="0"/>
              <w:left w:val="single" w:color="auto" w:sz="4" w:space="0"/>
              <w:bottom w:val="single" w:color="auto" w:sz="4" w:space="0"/>
              <w:right w:val="single" w:color="auto" w:sz="4" w:space="0"/>
            </w:tcBorders>
          </w:tcPr>
          <w:p w14:paraId="0F6343B0">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311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D930CA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2D5A6320">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从化区公费医保接口</w:t>
            </w:r>
          </w:p>
        </w:tc>
        <w:tc>
          <w:tcPr>
            <w:tcW w:w="1392" w:type="dxa"/>
            <w:tcBorders>
              <w:top w:val="single" w:color="auto" w:sz="4" w:space="0"/>
              <w:left w:val="single" w:color="auto" w:sz="4" w:space="0"/>
              <w:bottom w:val="single" w:color="auto" w:sz="4" w:space="0"/>
              <w:right w:val="single" w:color="auto" w:sz="4" w:space="0"/>
            </w:tcBorders>
          </w:tcPr>
          <w:p w14:paraId="7F999C63">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1841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F76D77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5D35D197">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广东省病案系统接口</w:t>
            </w:r>
          </w:p>
        </w:tc>
        <w:tc>
          <w:tcPr>
            <w:tcW w:w="1392" w:type="dxa"/>
            <w:tcBorders>
              <w:top w:val="single" w:color="auto" w:sz="4" w:space="0"/>
              <w:left w:val="single" w:color="auto" w:sz="4" w:space="0"/>
              <w:bottom w:val="single" w:color="auto" w:sz="4" w:space="0"/>
              <w:right w:val="single" w:color="auto" w:sz="4" w:space="0"/>
            </w:tcBorders>
          </w:tcPr>
          <w:p w14:paraId="74B67F5E">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702F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A53173C">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0AF11E5">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从化区基层区域卫生管理信息平台接口</w:t>
            </w:r>
          </w:p>
        </w:tc>
        <w:tc>
          <w:tcPr>
            <w:tcW w:w="1392" w:type="dxa"/>
            <w:tcBorders>
              <w:top w:val="single" w:color="auto" w:sz="4" w:space="0"/>
              <w:left w:val="single" w:color="auto" w:sz="4" w:space="0"/>
              <w:bottom w:val="single" w:color="auto" w:sz="4" w:space="0"/>
              <w:right w:val="single" w:color="auto" w:sz="4" w:space="0"/>
            </w:tcBorders>
          </w:tcPr>
          <w:p w14:paraId="574E4167">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6F5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83CB3A3">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4BC462BC">
            <w:pPr>
              <w:keepNext w:val="0"/>
              <w:keepLines w:val="0"/>
              <w:pageBreakBefore w:val="0"/>
              <w:kinsoku/>
              <w:wordWrap/>
              <w:overflowPunct/>
              <w:topLinePunct w:val="0"/>
              <w:bidi w:val="0"/>
              <w:spacing w:line="570" w:lineRule="exact"/>
              <w:textAlignment w:val="auto"/>
              <w:rPr>
                <w:rFonts w:hint="default" w:hAnsi="宋体" w:cs="宋体"/>
                <w:lang w:val="en-US"/>
              </w:rPr>
            </w:pPr>
            <w:r>
              <w:rPr>
                <w:rFonts w:hint="eastAsia" w:hAnsi="宋体" w:cs="宋体"/>
                <w:lang w:val="en-US" w:eastAsia="zh-CN"/>
              </w:rPr>
              <w:t>聚核支付接口服务</w:t>
            </w:r>
          </w:p>
        </w:tc>
        <w:tc>
          <w:tcPr>
            <w:tcW w:w="1392" w:type="dxa"/>
            <w:tcBorders>
              <w:top w:val="single" w:color="auto" w:sz="4" w:space="0"/>
              <w:left w:val="single" w:color="auto" w:sz="4" w:space="0"/>
              <w:bottom w:val="single" w:color="auto" w:sz="4" w:space="0"/>
              <w:right w:val="single" w:color="auto" w:sz="4" w:space="0"/>
            </w:tcBorders>
          </w:tcPr>
          <w:p w14:paraId="480C9D23">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175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81493BB">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8742C2D">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发药机系统接口</w:t>
            </w:r>
          </w:p>
        </w:tc>
        <w:tc>
          <w:tcPr>
            <w:tcW w:w="1392" w:type="dxa"/>
            <w:tcBorders>
              <w:top w:val="single" w:color="auto" w:sz="4" w:space="0"/>
              <w:left w:val="single" w:color="auto" w:sz="4" w:space="0"/>
              <w:bottom w:val="single" w:color="auto" w:sz="4" w:space="0"/>
              <w:right w:val="single" w:color="auto" w:sz="4" w:space="0"/>
            </w:tcBorders>
          </w:tcPr>
          <w:p w14:paraId="5BCF7983">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7C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21C157C">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A71185B">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与诊间审核与病种分值结算辅助系统对接接口</w:t>
            </w:r>
          </w:p>
        </w:tc>
        <w:tc>
          <w:tcPr>
            <w:tcW w:w="1392" w:type="dxa"/>
            <w:tcBorders>
              <w:top w:val="single" w:color="auto" w:sz="4" w:space="0"/>
              <w:left w:val="single" w:color="auto" w:sz="4" w:space="0"/>
              <w:bottom w:val="single" w:color="auto" w:sz="4" w:space="0"/>
              <w:right w:val="single" w:color="auto" w:sz="4" w:space="0"/>
            </w:tcBorders>
          </w:tcPr>
          <w:p w14:paraId="7FC01A85">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1D76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F944A18">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56EB6C75">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与广州健康通接口</w:t>
            </w:r>
          </w:p>
        </w:tc>
        <w:tc>
          <w:tcPr>
            <w:tcW w:w="1392" w:type="dxa"/>
            <w:tcBorders>
              <w:top w:val="single" w:color="auto" w:sz="4" w:space="0"/>
              <w:left w:val="single" w:color="auto" w:sz="4" w:space="0"/>
              <w:bottom w:val="single" w:color="auto" w:sz="4" w:space="0"/>
              <w:right w:val="single" w:color="auto" w:sz="4" w:space="0"/>
            </w:tcBorders>
            <w:vAlign w:val="center"/>
          </w:tcPr>
          <w:p w14:paraId="20ACBA5E">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1EA8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64CA8B13">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49463F27">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广州市健康码接口</w:t>
            </w:r>
          </w:p>
        </w:tc>
        <w:tc>
          <w:tcPr>
            <w:tcW w:w="1392" w:type="dxa"/>
            <w:tcBorders>
              <w:top w:val="single" w:color="auto" w:sz="4" w:space="0"/>
              <w:left w:val="single" w:color="auto" w:sz="4" w:space="0"/>
              <w:bottom w:val="single" w:color="auto" w:sz="4" w:space="0"/>
              <w:right w:val="single" w:color="auto" w:sz="4" w:space="0"/>
            </w:tcBorders>
            <w:vAlign w:val="center"/>
          </w:tcPr>
          <w:p w14:paraId="26F1A08C">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B50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15EB89B">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9DCF3DE">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省市直属医保信息系统接口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6C845227">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F5C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4F01CD3A">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32B0ABB">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与广东省工伤保险协议服务机构联网结算接口</w:t>
            </w:r>
          </w:p>
        </w:tc>
        <w:tc>
          <w:tcPr>
            <w:tcW w:w="1392" w:type="dxa"/>
            <w:tcBorders>
              <w:top w:val="single" w:color="auto" w:sz="4" w:space="0"/>
              <w:left w:val="single" w:color="auto" w:sz="4" w:space="0"/>
              <w:bottom w:val="single" w:color="auto" w:sz="4" w:space="0"/>
              <w:right w:val="single" w:color="auto" w:sz="4" w:space="0"/>
            </w:tcBorders>
            <w:vAlign w:val="center"/>
          </w:tcPr>
          <w:p w14:paraId="7547678B">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72A1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23DD99B">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9D1CD80">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市内定点医疗机构零报费用明细上传接口</w:t>
            </w:r>
          </w:p>
        </w:tc>
        <w:tc>
          <w:tcPr>
            <w:tcW w:w="1392" w:type="dxa"/>
            <w:tcBorders>
              <w:top w:val="single" w:color="auto" w:sz="4" w:space="0"/>
              <w:left w:val="single" w:color="auto" w:sz="4" w:space="0"/>
              <w:bottom w:val="single" w:color="auto" w:sz="4" w:space="0"/>
              <w:right w:val="single" w:color="auto" w:sz="4" w:space="0"/>
            </w:tcBorders>
            <w:vAlign w:val="center"/>
          </w:tcPr>
          <w:p w14:paraId="40C57833">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CDD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26BEDE86">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36B81A4">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广州市新医保接口</w:t>
            </w:r>
          </w:p>
        </w:tc>
        <w:tc>
          <w:tcPr>
            <w:tcW w:w="1392" w:type="dxa"/>
            <w:tcBorders>
              <w:top w:val="single" w:color="auto" w:sz="4" w:space="0"/>
              <w:left w:val="single" w:color="auto" w:sz="4" w:space="0"/>
              <w:bottom w:val="single" w:color="auto" w:sz="4" w:space="0"/>
              <w:right w:val="single" w:color="auto" w:sz="4" w:space="0"/>
            </w:tcBorders>
            <w:vAlign w:val="center"/>
          </w:tcPr>
          <w:p w14:paraId="4E592494">
            <w:pPr>
              <w:keepNext w:val="0"/>
              <w:keepLines w:val="0"/>
              <w:pageBreakBefore w:val="0"/>
              <w:kinsoku/>
              <w:wordWrap/>
              <w:overflowPunct/>
              <w:topLinePunct w:val="0"/>
              <w:bidi w:val="0"/>
              <w:spacing w:line="570" w:lineRule="exact"/>
              <w:jc w:val="center"/>
              <w:textAlignment w:val="auto"/>
              <w:rPr>
                <w:rFonts w:hint="eastAsia" w:hAnsi="宋体" w:cs="宋体"/>
                <w:color w:val="FF0000"/>
              </w:rPr>
            </w:pPr>
            <w:r>
              <w:rPr>
                <w:rFonts w:hint="eastAsia" w:hAnsi="宋体" w:cs="宋体"/>
              </w:rPr>
              <w:t>1</w:t>
            </w:r>
          </w:p>
        </w:tc>
      </w:tr>
      <w:tr w14:paraId="66A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9CF1719">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8B6114A">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排队叫号管理系统接口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7BC243B5">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1DB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0AFEE84">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785DE2AA">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麻醉手术管理系统接口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44CD941C">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3B9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324EB6C2">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0C60CDE">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合理用药系统接口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18E852B4">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7862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F005E14">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6C25EC5F">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心电图接口</w:t>
            </w:r>
          </w:p>
        </w:tc>
        <w:tc>
          <w:tcPr>
            <w:tcW w:w="1392" w:type="dxa"/>
            <w:tcBorders>
              <w:top w:val="single" w:color="auto" w:sz="4" w:space="0"/>
              <w:left w:val="single" w:color="auto" w:sz="4" w:space="0"/>
              <w:bottom w:val="single" w:color="auto" w:sz="4" w:space="0"/>
              <w:right w:val="single" w:color="auto" w:sz="4" w:space="0"/>
            </w:tcBorders>
            <w:vAlign w:val="center"/>
          </w:tcPr>
          <w:p w14:paraId="05E9E0D1">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221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0F2FC6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4CB1EA5">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健康体检系统接口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6F635E34">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B70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AD79B4A">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C6D51A1">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医程通微信平台接口</w:t>
            </w:r>
          </w:p>
        </w:tc>
        <w:tc>
          <w:tcPr>
            <w:tcW w:w="1392" w:type="dxa"/>
            <w:tcBorders>
              <w:top w:val="single" w:color="auto" w:sz="4" w:space="0"/>
              <w:left w:val="single" w:color="auto" w:sz="4" w:space="0"/>
              <w:bottom w:val="single" w:color="auto" w:sz="4" w:space="0"/>
              <w:right w:val="single" w:color="auto" w:sz="4" w:space="0"/>
            </w:tcBorders>
            <w:vAlign w:val="center"/>
          </w:tcPr>
          <w:p w14:paraId="48E16F1F">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568D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05EB676">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4C8A7554">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院感系统接口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76C3F4A6">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DA8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F0456D6">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483FE0D">
            <w:pPr>
              <w:keepNext w:val="0"/>
              <w:keepLines w:val="0"/>
              <w:pageBreakBefore w:val="0"/>
              <w:kinsoku/>
              <w:wordWrap/>
              <w:overflowPunct/>
              <w:topLinePunct w:val="0"/>
              <w:bidi w:val="0"/>
              <w:spacing w:line="570" w:lineRule="exact"/>
              <w:textAlignment w:val="auto"/>
              <w:rPr>
                <w:rFonts w:hint="eastAsia" w:hAnsi="宋体" w:cs="宋体"/>
              </w:rPr>
            </w:pPr>
            <w:r>
              <w:rPr>
                <w:rFonts w:hint="eastAsia" w:hAnsi="宋体" w:cs="宋体"/>
              </w:rPr>
              <w:t>传染病管理系统接口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46B5F5F0">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6CB5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B558DB8">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0FCE84A">
            <w:pPr>
              <w:keepNext w:val="0"/>
              <w:keepLines w:val="0"/>
              <w:pageBreakBefore w:val="0"/>
              <w:kinsoku/>
              <w:wordWrap/>
              <w:overflowPunct/>
              <w:topLinePunct w:val="0"/>
              <w:bidi w:val="0"/>
              <w:spacing w:line="570" w:lineRule="exact"/>
              <w:textAlignment w:val="auto"/>
              <w:rPr>
                <w:rFonts w:hint="default" w:hAnsi="宋体" w:eastAsia="宋体" w:cs="宋体"/>
                <w:lang w:val="en-US" w:eastAsia="zh-CN"/>
              </w:rPr>
            </w:pPr>
            <w:r>
              <w:rPr>
                <w:rFonts w:hint="eastAsia" w:hAnsi="宋体" w:cs="宋体"/>
                <w:lang w:val="en-US" w:eastAsia="zh-CN"/>
              </w:rPr>
              <w:t>国家传染病智能监测预警前置软件接口</w:t>
            </w:r>
          </w:p>
        </w:tc>
        <w:tc>
          <w:tcPr>
            <w:tcW w:w="1392" w:type="dxa"/>
            <w:tcBorders>
              <w:top w:val="single" w:color="auto" w:sz="4" w:space="0"/>
              <w:left w:val="single" w:color="auto" w:sz="4" w:space="0"/>
              <w:bottom w:val="single" w:color="auto" w:sz="4" w:space="0"/>
              <w:right w:val="single" w:color="auto" w:sz="4" w:space="0"/>
            </w:tcBorders>
            <w:vAlign w:val="center"/>
          </w:tcPr>
          <w:p w14:paraId="7779B44B">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4C2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DA91B91">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36DB245">
            <w:pPr>
              <w:keepNext w:val="0"/>
              <w:keepLines w:val="0"/>
              <w:pageBreakBefore w:val="0"/>
              <w:kinsoku/>
              <w:wordWrap/>
              <w:overflowPunct/>
              <w:topLinePunct w:val="0"/>
              <w:bidi w:val="0"/>
              <w:spacing w:line="570" w:lineRule="exact"/>
              <w:textAlignment w:val="auto"/>
              <w:rPr>
                <w:rFonts w:hint="default" w:hAnsi="宋体" w:eastAsia="宋体" w:cs="宋体"/>
                <w:lang w:val="en-US" w:eastAsia="zh-CN"/>
              </w:rPr>
            </w:pPr>
            <w:r>
              <w:rPr>
                <w:rFonts w:hint="eastAsia" w:hAnsi="宋体" w:cs="宋体"/>
                <w:lang w:val="en-US" w:eastAsia="zh-CN"/>
              </w:rPr>
              <w:t>公卫系统接口</w:t>
            </w:r>
          </w:p>
        </w:tc>
        <w:tc>
          <w:tcPr>
            <w:tcW w:w="1392" w:type="dxa"/>
            <w:tcBorders>
              <w:top w:val="single" w:color="auto" w:sz="4" w:space="0"/>
              <w:left w:val="single" w:color="auto" w:sz="4" w:space="0"/>
              <w:bottom w:val="single" w:color="auto" w:sz="4" w:space="0"/>
              <w:right w:val="single" w:color="auto" w:sz="4" w:space="0"/>
            </w:tcBorders>
            <w:vAlign w:val="center"/>
          </w:tcPr>
          <w:p w14:paraId="61023D2F">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6EDF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9BAB8F2">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05FD4374">
            <w:pPr>
              <w:keepNext w:val="0"/>
              <w:keepLines w:val="0"/>
              <w:pageBreakBefore w:val="0"/>
              <w:kinsoku/>
              <w:wordWrap/>
              <w:overflowPunct/>
              <w:topLinePunct w:val="0"/>
              <w:bidi w:val="0"/>
              <w:spacing w:line="570" w:lineRule="exact"/>
              <w:textAlignment w:val="auto"/>
              <w:rPr>
                <w:rFonts w:hint="default" w:hAnsi="宋体" w:eastAsia="宋体" w:cs="宋体"/>
                <w:lang w:val="en-US" w:eastAsia="zh-CN"/>
              </w:rPr>
            </w:pPr>
            <w:r>
              <w:rPr>
                <w:rFonts w:hint="eastAsia" w:hAnsi="宋体" w:cs="宋体"/>
                <w:lang w:val="en-US" w:eastAsia="zh-CN"/>
              </w:rPr>
              <w:t>电子票据接口</w:t>
            </w:r>
          </w:p>
        </w:tc>
        <w:tc>
          <w:tcPr>
            <w:tcW w:w="1392" w:type="dxa"/>
            <w:tcBorders>
              <w:top w:val="single" w:color="auto" w:sz="4" w:space="0"/>
              <w:left w:val="single" w:color="auto" w:sz="4" w:space="0"/>
              <w:bottom w:val="single" w:color="auto" w:sz="4" w:space="0"/>
              <w:right w:val="single" w:color="auto" w:sz="4" w:space="0"/>
            </w:tcBorders>
            <w:vAlign w:val="center"/>
          </w:tcPr>
          <w:p w14:paraId="555501C7">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0DF6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2EB69BF">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383071EE">
            <w:pPr>
              <w:keepNext w:val="0"/>
              <w:keepLines w:val="0"/>
              <w:pageBreakBefore w:val="0"/>
              <w:kinsoku/>
              <w:wordWrap/>
              <w:overflowPunct/>
              <w:topLinePunct w:val="0"/>
              <w:bidi w:val="0"/>
              <w:spacing w:line="570" w:lineRule="exact"/>
              <w:textAlignment w:val="auto"/>
              <w:rPr>
                <w:rFonts w:hint="default" w:hAnsi="宋体" w:cs="宋体"/>
                <w:lang w:val="en-US" w:eastAsia="zh-CN"/>
              </w:rPr>
            </w:pPr>
            <w:r>
              <w:rPr>
                <w:rFonts w:hint="eastAsia" w:hAnsi="宋体" w:cs="宋体"/>
                <w:lang w:val="en-US" w:eastAsia="zh-CN"/>
              </w:rPr>
              <w:t>医保双通道接口</w:t>
            </w:r>
          </w:p>
        </w:tc>
        <w:tc>
          <w:tcPr>
            <w:tcW w:w="1392" w:type="dxa"/>
            <w:tcBorders>
              <w:top w:val="single" w:color="auto" w:sz="4" w:space="0"/>
              <w:left w:val="single" w:color="auto" w:sz="4" w:space="0"/>
              <w:bottom w:val="single" w:color="auto" w:sz="4" w:space="0"/>
              <w:right w:val="single" w:color="auto" w:sz="4" w:space="0"/>
            </w:tcBorders>
            <w:vAlign w:val="center"/>
          </w:tcPr>
          <w:p w14:paraId="682E968F">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4B31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6E0E61D">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44B46F85">
            <w:pPr>
              <w:keepNext w:val="0"/>
              <w:keepLines w:val="0"/>
              <w:pageBreakBefore w:val="0"/>
              <w:kinsoku/>
              <w:wordWrap/>
              <w:overflowPunct/>
              <w:topLinePunct w:val="0"/>
              <w:bidi w:val="0"/>
              <w:spacing w:line="570" w:lineRule="exact"/>
              <w:textAlignment w:val="auto"/>
              <w:rPr>
                <w:rFonts w:hint="default" w:hAnsi="宋体" w:cs="宋体"/>
                <w:lang w:val="en-US" w:eastAsia="zh-CN"/>
              </w:rPr>
            </w:pPr>
            <w:r>
              <w:rPr>
                <w:rFonts w:hint="eastAsia" w:hAnsi="宋体" w:cs="宋体"/>
                <w:lang w:val="en-US" w:eastAsia="zh-CN"/>
              </w:rPr>
              <w:t>数据质量平台接口</w:t>
            </w:r>
          </w:p>
        </w:tc>
        <w:tc>
          <w:tcPr>
            <w:tcW w:w="1392" w:type="dxa"/>
            <w:tcBorders>
              <w:top w:val="single" w:color="auto" w:sz="4" w:space="0"/>
              <w:left w:val="single" w:color="auto" w:sz="4" w:space="0"/>
              <w:bottom w:val="single" w:color="auto" w:sz="4" w:space="0"/>
              <w:right w:val="single" w:color="auto" w:sz="4" w:space="0"/>
            </w:tcBorders>
            <w:vAlign w:val="center"/>
          </w:tcPr>
          <w:p w14:paraId="541EB90E">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r w14:paraId="2641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0A2D3A5B">
            <w:pPr>
              <w:keepNext w:val="0"/>
              <w:keepLines w:val="0"/>
              <w:pageBreakBefore w:val="0"/>
              <w:widowControl/>
              <w:numPr>
                <w:ilvl w:val="0"/>
                <w:numId w:val="1"/>
              </w:numPr>
              <w:tabs>
                <w:tab w:val="left" w:pos="420"/>
              </w:tabs>
              <w:kinsoku/>
              <w:wordWrap/>
              <w:overflowPunct/>
              <w:topLinePunct w:val="0"/>
              <w:bidi w:val="0"/>
              <w:spacing w:line="570" w:lineRule="exact"/>
              <w:jc w:val="center"/>
              <w:textAlignment w:val="auto"/>
              <w:rPr>
                <w:rFonts w:hint="eastAsia" w:hAnsi="宋体" w:cs="宋体"/>
              </w:rPr>
            </w:pPr>
          </w:p>
        </w:tc>
        <w:tc>
          <w:tcPr>
            <w:tcW w:w="5021" w:type="dxa"/>
            <w:tcBorders>
              <w:top w:val="single" w:color="auto" w:sz="4" w:space="0"/>
              <w:left w:val="single" w:color="auto" w:sz="4" w:space="0"/>
              <w:bottom w:val="single" w:color="auto" w:sz="4" w:space="0"/>
              <w:right w:val="single" w:color="auto" w:sz="4" w:space="0"/>
            </w:tcBorders>
            <w:vAlign w:val="center"/>
          </w:tcPr>
          <w:p w14:paraId="1E1103B1">
            <w:pPr>
              <w:keepNext w:val="0"/>
              <w:keepLines w:val="0"/>
              <w:pageBreakBefore w:val="0"/>
              <w:kinsoku/>
              <w:wordWrap/>
              <w:overflowPunct/>
              <w:topLinePunct w:val="0"/>
              <w:bidi w:val="0"/>
              <w:spacing w:line="570" w:lineRule="exact"/>
              <w:textAlignment w:val="auto"/>
              <w:rPr>
                <w:rFonts w:hint="default" w:hAnsi="宋体" w:cs="宋体"/>
                <w:lang w:val="en-US" w:eastAsia="zh-CN"/>
              </w:rPr>
            </w:pPr>
            <w:r>
              <w:rPr>
                <w:rFonts w:hint="eastAsia" w:hAnsi="宋体" w:cs="宋体"/>
                <w:lang w:val="en-US" w:eastAsia="zh-CN"/>
              </w:rPr>
              <w:t>食源性前置软件接口</w:t>
            </w:r>
          </w:p>
        </w:tc>
        <w:tc>
          <w:tcPr>
            <w:tcW w:w="1392" w:type="dxa"/>
            <w:tcBorders>
              <w:top w:val="single" w:color="auto" w:sz="4" w:space="0"/>
              <w:left w:val="single" w:color="auto" w:sz="4" w:space="0"/>
              <w:bottom w:val="single" w:color="auto" w:sz="4" w:space="0"/>
              <w:right w:val="single" w:color="auto" w:sz="4" w:space="0"/>
            </w:tcBorders>
            <w:vAlign w:val="center"/>
          </w:tcPr>
          <w:p w14:paraId="41483B9E">
            <w:pPr>
              <w:keepNext w:val="0"/>
              <w:keepLines w:val="0"/>
              <w:pageBreakBefore w:val="0"/>
              <w:kinsoku/>
              <w:wordWrap/>
              <w:overflowPunct/>
              <w:topLinePunct w:val="0"/>
              <w:bidi w:val="0"/>
              <w:spacing w:line="570" w:lineRule="exact"/>
              <w:jc w:val="center"/>
              <w:textAlignment w:val="auto"/>
              <w:rPr>
                <w:rFonts w:hint="eastAsia" w:hAnsi="宋体" w:cs="宋体"/>
              </w:rPr>
            </w:pPr>
            <w:r>
              <w:rPr>
                <w:rFonts w:hint="eastAsia" w:hAnsi="宋体" w:cs="宋体"/>
              </w:rPr>
              <w:t>1</w:t>
            </w:r>
          </w:p>
        </w:tc>
      </w:tr>
    </w:tbl>
    <w:p w14:paraId="62DB6DB4">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hAnsi="宋体" w:cs="宋体"/>
          <w:b/>
        </w:rPr>
      </w:pPr>
      <w:r>
        <w:rPr>
          <w:rFonts w:hint="eastAsia" w:hAnsi="宋体" w:cs="宋体"/>
          <w:b/>
          <w:lang w:val="en-US" w:eastAsia="zh-CN"/>
        </w:rPr>
        <w:t xml:space="preserve">2. </w:t>
      </w:r>
      <w:r>
        <w:rPr>
          <w:rFonts w:hint="eastAsia" w:hAnsi="宋体" w:cs="宋体"/>
          <w:b/>
        </w:rPr>
        <w:t>软件日常维护服务</w:t>
      </w:r>
    </w:p>
    <w:p w14:paraId="170C6AF5">
      <w:pPr>
        <w:pStyle w:val="18"/>
        <w:keepNext w:val="0"/>
        <w:keepLines w:val="0"/>
        <w:pageBreakBefore w:val="0"/>
        <w:tabs>
          <w:tab w:val="left" w:pos="0"/>
          <w:tab w:val="left" w:pos="900"/>
          <w:tab w:val="left" w:pos="1418"/>
        </w:tabs>
        <w:kinsoku/>
        <w:wordWrap/>
        <w:overflowPunct/>
        <w:topLinePunct w:val="0"/>
        <w:autoSpaceDE/>
        <w:autoSpaceDN/>
        <w:bidi w:val="0"/>
        <w:snapToGrid w:val="0"/>
        <w:spacing w:beforeLines="0" w:after="0" w:afterLines="0" w:line="570" w:lineRule="exact"/>
        <w:ind w:left="0" w:leftChars="0" w:firstLine="480" w:firstLineChars="200"/>
        <w:textAlignment w:val="auto"/>
        <w:rPr>
          <w:rFonts w:hint="eastAsia" w:hAnsi="宋体" w:cs="宋体"/>
          <w:bCs/>
          <w:color w:val="auto"/>
          <w:sz w:val="24"/>
          <w:szCs w:val="24"/>
          <w:highlight w:val="none"/>
        </w:rPr>
      </w:pPr>
      <w:r>
        <w:rPr>
          <w:rFonts w:hint="eastAsia" w:hAnsi="宋体" w:cs="宋体"/>
          <w:bCs/>
          <w:color w:val="auto"/>
          <w:sz w:val="24"/>
          <w:szCs w:val="24"/>
          <w:highlight w:val="none"/>
        </w:rPr>
        <w:t>日常维护内容包括</w:t>
      </w:r>
      <w:r>
        <w:rPr>
          <w:rFonts w:hint="eastAsia" w:hAnsi="宋体" w:cs="宋体"/>
          <w:bCs/>
          <w:color w:val="auto"/>
          <w:sz w:val="24"/>
          <w:szCs w:val="24"/>
          <w:highlight w:val="none"/>
          <w:lang w:eastAsia="zh-CN"/>
        </w:rPr>
        <w:t>以下事项</w:t>
      </w:r>
      <w:r>
        <w:rPr>
          <w:rFonts w:hint="eastAsia" w:hAnsi="宋体" w:cs="宋体"/>
          <w:bCs/>
          <w:color w:val="auto"/>
          <w:sz w:val="24"/>
          <w:szCs w:val="24"/>
          <w:highlight w:val="none"/>
        </w:rPr>
        <w:t>：</w:t>
      </w:r>
    </w:p>
    <w:p w14:paraId="043A2B50">
      <w:pPr>
        <w:keepNext w:val="0"/>
        <w:keepLines w:val="0"/>
        <w:pageBreakBefore w:val="0"/>
        <w:kinsoku/>
        <w:wordWrap/>
        <w:overflowPunct/>
        <w:topLinePunct w:val="0"/>
        <w:bidi w:val="0"/>
        <w:spacing w:line="570" w:lineRule="exact"/>
        <w:ind w:firstLine="460" w:firstLineChars="200"/>
        <w:textAlignment w:val="auto"/>
        <w:rPr>
          <w:rFonts w:hint="eastAsia" w:eastAsia="宋体"/>
          <w:color w:val="auto"/>
          <w:highlight w:val="none"/>
          <w:lang w:eastAsia="zh-CN"/>
        </w:rPr>
      </w:pPr>
      <w:r>
        <w:rPr>
          <w:rFonts w:hint="eastAsia" w:hAnsi="宋体" w:cs="宋体"/>
          <w:bCs/>
          <w:color w:val="auto"/>
          <w:spacing w:val="-5"/>
          <w:highlight w:val="none"/>
          <w:lang w:eastAsia="zh-CN"/>
        </w:rPr>
        <w:t>（1）软件（模块）运行故障的排查与解决，处理系统运行故障（计算机病毒及硬件问题除外）。</w:t>
      </w:r>
    </w:p>
    <w:p w14:paraId="2ED50E0F">
      <w:pPr>
        <w:keepNext w:val="0"/>
        <w:keepLines w:val="0"/>
        <w:pageBreakBefore w:val="0"/>
        <w:numPr>
          <w:ilvl w:val="0"/>
          <w:numId w:val="0"/>
        </w:numPr>
        <w:tabs>
          <w:tab w:val="left" w:pos="1418"/>
        </w:tabs>
        <w:kinsoku/>
        <w:wordWrap/>
        <w:overflowPunct/>
        <w:topLinePunct w:val="0"/>
        <w:autoSpaceDE/>
        <w:autoSpaceDN/>
        <w:bidi w:val="0"/>
        <w:snapToGrid w:val="0"/>
        <w:spacing w:beforeLines="0" w:afterLines="0" w:line="570" w:lineRule="exact"/>
        <w:ind w:firstLine="460" w:firstLineChars="200"/>
        <w:textAlignment w:val="auto"/>
        <w:rPr>
          <w:rFonts w:hint="eastAsia" w:hAnsi="宋体" w:cs="宋体"/>
          <w:bCs/>
          <w:color w:val="auto"/>
          <w:spacing w:val="-5"/>
          <w:highlight w:val="none"/>
        </w:rPr>
      </w:pPr>
      <w:r>
        <w:rPr>
          <w:rFonts w:hint="eastAsia" w:hAnsi="宋体" w:cs="宋体"/>
          <w:bCs/>
          <w:color w:val="auto"/>
          <w:spacing w:val="-5"/>
          <w:highlight w:val="none"/>
          <w:lang w:eastAsia="zh-CN"/>
        </w:rPr>
        <w:t>（2）</w:t>
      </w:r>
      <w:r>
        <w:rPr>
          <w:rFonts w:hint="eastAsia" w:hAnsi="宋体" w:cs="宋体"/>
          <w:bCs/>
          <w:color w:val="auto"/>
          <w:spacing w:val="-5"/>
          <w:highlight w:val="none"/>
        </w:rPr>
        <w:t>软件（模块）与系统软件</w:t>
      </w:r>
      <w:r>
        <w:rPr>
          <w:rFonts w:hint="eastAsia" w:hAnsi="宋体" w:cs="宋体"/>
          <w:bCs/>
          <w:color w:val="auto"/>
          <w:spacing w:val="-5"/>
          <w:highlight w:val="none"/>
          <w:lang w:eastAsia="zh-CN"/>
        </w:rPr>
        <w:t>、</w:t>
      </w:r>
      <w:r>
        <w:rPr>
          <w:rFonts w:hint="eastAsia" w:hAnsi="宋体" w:cs="宋体"/>
          <w:bCs/>
          <w:color w:val="auto"/>
          <w:spacing w:val="-5"/>
          <w:highlight w:val="none"/>
        </w:rPr>
        <w:t>数据库系统适配的调整（不含系统软件及数据库的安装）。</w:t>
      </w:r>
    </w:p>
    <w:p w14:paraId="13C00462">
      <w:pPr>
        <w:keepNext w:val="0"/>
        <w:keepLines w:val="0"/>
        <w:pageBreakBefore w:val="0"/>
        <w:kinsoku/>
        <w:wordWrap/>
        <w:overflowPunct/>
        <w:topLinePunct w:val="0"/>
        <w:bidi w:val="0"/>
        <w:spacing w:line="570" w:lineRule="exact"/>
        <w:ind w:firstLine="460" w:firstLineChars="200"/>
        <w:textAlignment w:val="auto"/>
        <w:rPr>
          <w:rFonts w:hint="eastAsia" w:eastAsia="宋体"/>
          <w:color w:val="auto"/>
          <w:highlight w:val="none"/>
          <w:lang w:eastAsia="zh-CN"/>
        </w:rPr>
      </w:pPr>
      <w:r>
        <w:rPr>
          <w:rFonts w:hint="eastAsia" w:hAnsi="宋体" w:cs="宋体"/>
          <w:bCs/>
          <w:color w:val="auto"/>
          <w:spacing w:val="-5"/>
          <w:highlight w:val="none"/>
          <w:lang w:eastAsia="zh-CN"/>
        </w:rPr>
        <w:t>（3）因操作失误导致的软件（模块）程序数据混乱问题的处理。</w:t>
      </w:r>
    </w:p>
    <w:p w14:paraId="35E0D4D8">
      <w:pPr>
        <w:keepNext w:val="0"/>
        <w:keepLines w:val="0"/>
        <w:pageBreakBefore w:val="0"/>
        <w:kinsoku/>
        <w:wordWrap/>
        <w:overflowPunct/>
        <w:topLinePunct w:val="0"/>
        <w:bidi w:val="0"/>
        <w:spacing w:line="570" w:lineRule="exact"/>
        <w:ind w:firstLine="460" w:firstLineChars="200"/>
        <w:textAlignment w:val="auto"/>
        <w:rPr>
          <w:rFonts w:hint="eastAsia" w:eastAsia="宋体"/>
          <w:color w:val="auto"/>
          <w:highlight w:val="none"/>
          <w:lang w:eastAsia="zh-CN"/>
        </w:rPr>
      </w:pPr>
      <w:r>
        <w:rPr>
          <w:rFonts w:hint="eastAsia" w:hAnsi="宋体" w:cs="宋体"/>
          <w:bCs/>
          <w:color w:val="auto"/>
          <w:spacing w:val="-5"/>
          <w:highlight w:val="none"/>
          <w:lang w:eastAsia="zh-CN"/>
        </w:rPr>
        <w:t>（4）软件（模块）统计报表的数据核对，针对报表数据与实际情况不符或与其他报表数据不对应的情况，协助核查或提供讲解说明。</w:t>
      </w:r>
    </w:p>
    <w:p w14:paraId="180C8C50">
      <w:pPr>
        <w:keepNext w:val="0"/>
        <w:keepLines w:val="0"/>
        <w:pageBreakBefore w:val="0"/>
        <w:kinsoku/>
        <w:wordWrap/>
        <w:overflowPunct/>
        <w:topLinePunct w:val="0"/>
        <w:bidi w:val="0"/>
        <w:spacing w:line="570" w:lineRule="exact"/>
        <w:ind w:firstLine="460" w:firstLineChars="200"/>
        <w:textAlignment w:val="auto"/>
        <w:rPr>
          <w:rFonts w:hint="eastAsia" w:eastAsia="宋体"/>
          <w:color w:val="auto"/>
          <w:highlight w:val="none"/>
          <w:lang w:eastAsia="zh-CN"/>
        </w:rPr>
      </w:pPr>
      <w:r>
        <w:rPr>
          <w:rFonts w:hint="eastAsia" w:hAnsi="宋体" w:cs="宋体"/>
          <w:bCs/>
          <w:color w:val="auto"/>
          <w:spacing w:val="-5"/>
          <w:highlight w:val="none"/>
          <w:lang w:eastAsia="zh-CN"/>
        </w:rPr>
        <w:t>（5）指导院方排查各系统无法运行的原因并解决问题（硬件问题除外）。</w:t>
      </w:r>
    </w:p>
    <w:p w14:paraId="53B93032">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eastAsia="宋体"/>
          <w:color w:val="auto"/>
          <w:highlight w:val="none"/>
          <w:lang w:eastAsia="zh-CN"/>
        </w:rPr>
      </w:pPr>
      <w:r>
        <w:rPr>
          <w:rFonts w:hint="eastAsia" w:ascii="宋体" w:hAnsi="宋体" w:cs="宋体"/>
          <w:bCs/>
          <w:color w:val="auto"/>
          <w:spacing w:val="-5"/>
          <w:kern w:val="0"/>
          <w:sz w:val="24"/>
          <w:highlight w:val="none"/>
          <w:lang w:eastAsia="zh-CN"/>
        </w:rPr>
        <w:t>（</w:t>
      </w:r>
      <w:r>
        <w:rPr>
          <w:rFonts w:hint="eastAsia" w:ascii="宋体" w:hAnsi="宋体" w:cs="宋体"/>
          <w:bCs/>
          <w:color w:val="auto"/>
          <w:spacing w:val="-5"/>
          <w:kern w:val="0"/>
          <w:sz w:val="24"/>
          <w:highlight w:val="none"/>
          <w:lang w:val="en-US" w:eastAsia="zh-CN"/>
        </w:rPr>
        <w:t>6）技术支持：技术文档解读、应用软件操作指导及系统日常维护支持。</w:t>
      </w:r>
    </w:p>
    <w:p w14:paraId="55F7935C">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eastAsia="宋体"/>
          <w:color w:val="auto"/>
          <w:highlight w:val="none"/>
          <w:lang w:eastAsia="zh-CN"/>
        </w:rPr>
      </w:pPr>
      <w:r>
        <w:rPr>
          <w:rFonts w:hint="eastAsia" w:ascii="宋体" w:hAnsi="宋体" w:cs="宋体"/>
          <w:bCs/>
          <w:color w:val="auto"/>
          <w:spacing w:val="-5"/>
          <w:kern w:val="0"/>
          <w:sz w:val="24"/>
          <w:highlight w:val="none"/>
          <w:lang w:eastAsia="zh-CN"/>
        </w:rPr>
        <w:t>（7）故障处理：解决应用软件故障引发的死机问题，分析并处理数据错误，解决应用程序无法登录的问题。</w:t>
      </w:r>
    </w:p>
    <w:p w14:paraId="2DD8330E">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eastAsia="宋体"/>
          <w:color w:val="auto"/>
          <w:highlight w:val="none"/>
          <w:lang w:eastAsia="zh-CN"/>
        </w:rPr>
      </w:pPr>
      <w:r>
        <w:rPr>
          <w:rFonts w:hint="eastAsia" w:ascii="宋体" w:hAnsi="宋体" w:cs="宋体"/>
          <w:bCs/>
          <w:color w:val="auto"/>
          <w:spacing w:val="-5"/>
          <w:kern w:val="0"/>
          <w:sz w:val="24"/>
          <w:highlight w:val="none"/>
          <w:lang w:eastAsia="zh-CN"/>
        </w:rPr>
        <w:t>（8）BUG处理：针对软件程序出错或操作失误造成的数据混乱，负责数据调整；针对程序本身BUG，负责程序修改。</w:t>
      </w:r>
    </w:p>
    <w:p w14:paraId="237C3FEB">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eastAsia="宋体"/>
          <w:color w:val="auto"/>
          <w:highlight w:val="none"/>
          <w:lang w:eastAsia="zh-CN"/>
        </w:rPr>
      </w:pPr>
      <w:r>
        <w:rPr>
          <w:rFonts w:hint="eastAsia" w:ascii="宋体" w:hAnsi="宋体" w:cs="宋体"/>
          <w:bCs/>
          <w:color w:val="auto"/>
          <w:spacing w:val="-5"/>
          <w:kern w:val="0"/>
          <w:sz w:val="24"/>
          <w:highlight w:val="none"/>
          <w:lang w:eastAsia="zh-CN"/>
        </w:rPr>
        <w:t>（9）数据核对：针对报表数据与实际情况不符或与其他报表数据不对应的情况，协助核查或提供讲解说明。</w:t>
      </w:r>
    </w:p>
    <w:p w14:paraId="2BE3BF33">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eastAsia="宋体"/>
          <w:color w:val="auto"/>
          <w:highlight w:val="none"/>
          <w:lang w:eastAsia="zh-CN"/>
        </w:rPr>
      </w:pPr>
      <w:r>
        <w:rPr>
          <w:rFonts w:hint="eastAsia" w:ascii="宋体" w:hAnsi="宋体" w:cs="宋体"/>
          <w:bCs/>
          <w:color w:val="auto"/>
          <w:spacing w:val="-5"/>
          <w:kern w:val="0"/>
          <w:sz w:val="24"/>
          <w:highlight w:val="none"/>
          <w:lang w:eastAsia="zh-CN"/>
        </w:rPr>
        <w:t>（1</w:t>
      </w:r>
      <w:r>
        <w:rPr>
          <w:rFonts w:hint="eastAsia" w:ascii="宋体" w:hAnsi="宋体" w:cs="宋体"/>
          <w:bCs/>
          <w:color w:val="auto"/>
          <w:spacing w:val="-5"/>
          <w:kern w:val="0"/>
          <w:sz w:val="24"/>
          <w:highlight w:val="none"/>
          <w:lang w:val="en-US" w:eastAsia="zh-CN"/>
        </w:rPr>
        <w:t>0）配置管理：针对具体业务应用，开展软件配置管理工作。</w:t>
      </w:r>
    </w:p>
    <w:p w14:paraId="6107BE3D">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ascii="宋体" w:hAnsi="宋体" w:eastAsia="宋体" w:cs="宋体"/>
          <w:bCs/>
          <w:color w:val="auto"/>
          <w:spacing w:val="-5"/>
          <w:kern w:val="0"/>
          <w:sz w:val="24"/>
          <w:highlight w:val="none"/>
          <w:lang w:eastAsia="zh-CN"/>
        </w:rPr>
      </w:pPr>
      <w:r>
        <w:rPr>
          <w:rFonts w:hint="eastAsia" w:ascii="宋体" w:hAnsi="宋体" w:cs="宋体"/>
          <w:bCs/>
          <w:color w:val="auto"/>
          <w:spacing w:val="-5"/>
          <w:kern w:val="0"/>
          <w:sz w:val="24"/>
          <w:highlight w:val="none"/>
        </w:rPr>
        <w:t>（</w:t>
      </w:r>
      <w:r>
        <w:rPr>
          <w:rFonts w:hint="eastAsia" w:ascii="宋体" w:hAnsi="宋体" w:cs="宋体"/>
          <w:bCs/>
          <w:color w:val="auto"/>
          <w:spacing w:val="-5"/>
          <w:kern w:val="0"/>
          <w:sz w:val="24"/>
          <w:highlight w:val="none"/>
          <w:lang w:eastAsia="zh-CN"/>
        </w:rPr>
        <w:t>1</w:t>
      </w:r>
      <w:r>
        <w:rPr>
          <w:rFonts w:hint="eastAsia" w:ascii="宋体" w:hAnsi="宋体" w:cs="宋体"/>
          <w:bCs/>
          <w:color w:val="auto"/>
          <w:spacing w:val="-5"/>
          <w:kern w:val="0"/>
          <w:sz w:val="24"/>
          <w:highlight w:val="none"/>
          <w:lang w:val="en-US" w:eastAsia="zh-CN"/>
        </w:rPr>
        <w:t>1</w:t>
      </w:r>
      <w:r>
        <w:rPr>
          <w:rFonts w:hint="eastAsia" w:ascii="宋体" w:hAnsi="宋体" w:cs="宋体"/>
          <w:bCs/>
          <w:color w:val="auto"/>
          <w:spacing w:val="-5"/>
          <w:kern w:val="0"/>
          <w:sz w:val="24"/>
          <w:highlight w:val="none"/>
        </w:rPr>
        <w:t>）环境管理：</w:t>
      </w:r>
      <w:r>
        <w:rPr>
          <w:rFonts w:hint="eastAsia" w:ascii="宋体" w:hAnsi="宋体" w:cs="宋体"/>
          <w:bCs/>
          <w:color w:val="auto"/>
          <w:spacing w:val="-5"/>
          <w:kern w:val="0"/>
          <w:sz w:val="24"/>
          <w:highlight w:val="none"/>
          <w:lang w:eastAsia="zh-CN"/>
        </w:rPr>
        <w:t>处理因</w:t>
      </w:r>
      <w:r>
        <w:rPr>
          <w:rFonts w:hint="eastAsia" w:ascii="宋体" w:hAnsi="宋体" w:cs="宋体"/>
          <w:bCs/>
          <w:color w:val="auto"/>
          <w:spacing w:val="-5"/>
          <w:kern w:val="0"/>
          <w:sz w:val="24"/>
          <w:highlight w:val="none"/>
        </w:rPr>
        <w:t>环境</w:t>
      </w:r>
      <w:r>
        <w:rPr>
          <w:rFonts w:hint="eastAsia" w:ascii="宋体" w:hAnsi="宋体" w:cs="宋体"/>
          <w:bCs/>
          <w:color w:val="auto"/>
          <w:spacing w:val="-5"/>
          <w:kern w:val="0"/>
          <w:sz w:val="24"/>
          <w:highlight w:val="none"/>
          <w:lang w:eastAsia="zh-CN"/>
        </w:rPr>
        <w:t>因素</w:t>
      </w:r>
      <w:r>
        <w:rPr>
          <w:rFonts w:hint="eastAsia" w:ascii="宋体" w:hAnsi="宋体" w:cs="宋体"/>
          <w:bCs/>
          <w:color w:val="auto"/>
          <w:spacing w:val="-5"/>
          <w:kern w:val="0"/>
          <w:sz w:val="24"/>
          <w:highlight w:val="none"/>
        </w:rPr>
        <w:t>导致的系统显示错误、数据错误、运行效率降低等问题</w:t>
      </w:r>
      <w:r>
        <w:rPr>
          <w:rFonts w:hint="eastAsia" w:ascii="宋体" w:hAnsi="宋体" w:cs="宋体"/>
          <w:bCs/>
          <w:color w:val="auto"/>
          <w:spacing w:val="-5"/>
          <w:kern w:val="0"/>
          <w:sz w:val="24"/>
          <w:highlight w:val="none"/>
          <w:lang w:eastAsia="zh-CN"/>
        </w:rPr>
        <w:t>。</w:t>
      </w:r>
    </w:p>
    <w:p w14:paraId="2125B011">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ascii="宋体" w:hAnsi="宋体" w:cs="宋体"/>
          <w:bCs/>
          <w:color w:val="auto"/>
          <w:spacing w:val="-5"/>
          <w:kern w:val="0"/>
          <w:sz w:val="24"/>
          <w:highlight w:val="none"/>
        </w:rPr>
      </w:pPr>
      <w:r>
        <w:rPr>
          <w:rFonts w:hint="eastAsia" w:ascii="宋体" w:hAnsi="宋体" w:cs="宋体"/>
          <w:bCs/>
          <w:color w:val="auto"/>
          <w:spacing w:val="-5"/>
          <w:kern w:val="0"/>
          <w:sz w:val="24"/>
          <w:highlight w:val="none"/>
        </w:rPr>
        <w:t>（</w:t>
      </w:r>
      <w:r>
        <w:rPr>
          <w:rFonts w:hint="eastAsia" w:ascii="宋体" w:hAnsi="宋体" w:cs="宋体"/>
          <w:bCs/>
          <w:color w:val="auto"/>
          <w:spacing w:val="-5"/>
          <w:kern w:val="0"/>
          <w:sz w:val="24"/>
          <w:highlight w:val="none"/>
          <w:lang w:eastAsia="zh-CN"/>
        </w:rPr>
        <w:t>1</w:t>
      </w:r>
      <w:r>
        <w:rPr>
          <w:rFonts w:hint="eastAsia" w:ascii="宋体" w:hAnsi="宋体" w:cs="宋体"/>
          <w:bCs/>
          <w:color w:val="auto"/>
          <w:spacing w:val="-5"/>
          <w:kern w:val="0"/>
          <w:sz w:val="24"/>
          <w:highlight w:val="none"/>
          <w:lang w:val="en-US" w:eastAsia="zh-CN"/>
        </w:rPr>
        <w:t>2</w:t>
      </w:r>
      <w:r>
        <w:rPr>
          <w:rFonts w:hint="eastAsia" w:ascii="宋体" w:hAnsi="宋体" w:cs="宋体"/>
          <w:bCs/>
          <w:color w:val="auto"/>
          <w:spacing w:val="-5"/>
          <w:kern w:val="0"/>
          <w:sz w:val="24"/>
          <w:highlight w:val="none"/>
        </w:rPr>
        <w:t>）应急管理：负责门诊应急系统的运维工作，做好系统应急服务</w:t>
      </w:r>
      <w:r>
        <w:rPr>
          <w:rFonts w:hint="eastAsia" w:ascii="宋体" w:hAnsi="宋体" w:cs="宋体"/>
          <w:bCs/>
          <w:color w:val="auto"/>
          <w:spacing w:val="-5"/>
          <w:kern w:val="0"/>
          <w:sz w:val="24"/>
          <w:highlight w:val="none"/>
          <w:lang w:eastAsia="zh-CN"/>
        </w:rPr>
        <w:t>保障</w:t>
      </w:r>
      <w:r>
        <w:rPr>
          <w:rFonts w:hint="eastAsia" w:ascii="宋体" w:hAnsi="宋体" w:cs="宋体"/>
          <w:bCs/>
          <w:color w:val="auto"/>
          <w:spacing w:val="-5"/>
          <w:kern w:val="0"/>
          <w:sz w:val="24"/>
          <w:highlight w:val="none"/>
        </w:rPr>
        <w:t>。</w:t>
      </w:r>
    </w:p>
    <w:p w14:paraId="58F6444A">
      <w:pPr>
        <w:pStyle w:val="2"/>
        <w:keepNext w:val="0"/>
        <w:keepLines w:val="0"/>
        <w:pageBreakBefore w:val="0"/>
        <w:kinsoku/>
        <w:wordWrap/>
        <w:overflowPunct/>
        <w:topLinePunct w:val="0"/>
        <w:bidi w:val="0"/>
        <w:snapToGrid w:val="0"/>
        <w:spacing w:beforeLines="0" w:afterLines="0" w:line="570" w:lineRule="exact"/>
        <w:ind w:firstLine="460" w:firstLineChars="200"/>
        <w:textAlignment w:val="auto"/>
        <w:rPr>
          <w:rFonts w:hint="eastAsia" w:eastAsia="宋体"/>
          <w:color w:val="auto"/>
          <w:highlight w:val="none"/>
          <w:lang w:eastAsia="zh-CN"/>
        </w:rPr>
      </w:pPr>
      <w:r>
        <w:rPr>
          <w:rFonts w:hint="eastAsia" w:ascii="宋体" w:hAnsi="宋体" w:cs="宋体"/>
          <w:bCs/>
          <w:color w:val="auto"/>
          <w:spacing w:val="-5"/>
          <w:kern w:val="0"/>
          <w:sz w:val="24"/>
          <w:highlight w:val="none"/>
          <w:lang w:eastAsia="zh-CN"/>
        </w:rPr>
        <w:t>（1</w:t>
      </w:r>
      <w:r>
        <w:rPr>
          <w:rFonts w:hint="eastAsia" w:ascii="宋体" w:hAnsi="宋体" w:cs="宋体"/>
          <w:bCs/>
          <w:color w:val="auto"/>
          <w:spacing w:val="-5"/>
          <w:kern w:val="0"/>
          <w:sz w:val="24"/>
          <w:highlight w:val="none"/>
          <w:lang w:val="en-US" w:eastAsia="zh-CN"/>
        </w:rPr>
        <w:t>3）数据备份：定期对软件数据库进行备份，当应用系统出现使用异常时，能够开展数据恢复工作。</w:t>
      </w:r>
    </w:p>
    <w:p w14:paraId="163FC762">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hAnsi="宋体" w:cs="宋体"/>
          <w:b/>
        </w:rPr>
      </w:pPr>
      <w:r>
        <w:rPr>
          <w:rFonts w:hint="eastAsia" w:hAnsi="宋体" w:cs="宋体"/>
          <w:b/>
          <w:lang w:val="en-US" w:eastAsia="zh-CN"/>
        </w:rPr>
        <w:t xml:space="preserve">3. </w:t>
      </w:r>
      <w:r>
        <w:rPr>
          <w:rFonts w:hint="eastAsia" w:hAnsi="宋体" w:cs="宋体"/>
          <w:b/>
        </w:rPr>
        <w:t>软件的适应性维护</w:t>
      </w:r>
    </w:p>
    <w:p w14:paraId="7638A153">
      <w:pPr>
        <w:keepNext w:val="0"/>
        <w:keepLines w:val="0"/>
        <w:pageBreakBefore w:val="0"/>
        <w:kinsoku/>
        <w:wordWrap/>
        <w:overflowPunct/>
        <w:topLinePunct w:val="0"/>
        <w:bidi w:val="0"/>
        <w:spacing w:line="570" w:lineRule="exact"/>
        <w:ind w:firstLine="480" w:firstLineChars="200"/>
        <w:textAlignment w:val="auto"/>
        <w:rPr>
          <w:rFonts w:hint="eastAsia" w:eastAsia="宋体"/>
          <w:lang w:eastAsia="zh-CN"/>
        </w:rPr>
      </w:pPr>
      <w:r>
        <w:rPr>
          <w:rFonts w:hint="eastAsia" w:hAnsi="宋体" w:cs="宋体"/>
          <w:lang w:eastAsia="zh-CN"/>
        </w:rPr>
        <w:t>适应性维护指在不增加功能模块的前提下，因业务政策变化或系统运行环境变化，对原有模块进行的适应性修改。</w:t>
      </w:r>
    </w:p>
    <w:p w14:paraId="4F32BC64">
      <w:pPr>
        <w:keepNext w:val="0"/>
        <w:keepLines w:val="0"/>
        <w:pageBreakBefore w:val="0"/>
        <w:kinsoku/>
        <w:wordWrap/>
        <w:overflowPunct/>
        <w:topLinePunct w:val="0"/>
        <w:autoSpaceDE/>
        <w:autoSpaceDN/>
        <w:bidi w:val="0"/>
        <w:snapToGrid w:val="0"/>
        <w:spacing w:before="0" w:beforeLines="0" w:after="0" w:afterLines="0" w:line="570" w:lineRule="exact"/>
        <w:ind w:left="0" w:leftChars="0" w:firstLine="480" w:firstLineChars="200"/>
        <w:textAlignment w:val="auto"/>
        <w:rPr>
          <w:rFonts w:hint="eastAsia" w:hAnsi="宋体" w:cs="宋体"/>
        </w:rPr>
      </w:pPr>
      <w:r>
        <w:rPr>
          <w:rFonts w:hint="eastAsia" w:hAnsi="宋体" w:cs="宋体"/>
        </w:rPr>
        <w:t>医院目前在用的医院信息软件系统模块较多，在软件实际运行过程中受国家新医改及政府其他政策影响，经常需要对软件进行二次改造。</w:t>
      </w:r>
      <w:r>
        <w:rPr>
          <w:rFonts w:hint="eastAsia" w:hAnsi="宋体" w:cs="宋体"/>
          <w:lang w:val="en-US" w:eastAsia="zh-CN"/>
        </w:rPr>
        <w:t>成交方</w:t>
      </w:r>
      <w:r>
        <w:rPr>
          <w:rFonts w:hint="eastAsia" w:hAnsi="宋体" w:cs="宋体"/>
        </w:rPr>
        <w:t>应按照政府相关政策（如医保政策）、卫健局及医院管理层、医务人员的实际要求，对已上线的软件模块进行二次修改（不涉及新增及开发新的模块）。</w:t>
      </w:r>
    </w:p>
    <w:p w14:paraId="63A2A167">
      <w:pPr>
        <w:keepNext w:val="0"/>
        <w:keepLines w:val="0"/>
        <w:pageBreakBefore w:val="0"/>
        <w:kinsoku/>
        <w:wordWrap/>
        <w:overflowPunct/>
        <w:topLinePunct w:val="0"/>
        <w:autoSpaceDE/>
        <w:autoSpaceDN/>
        <w:bidi w:val="0"/>
        <w:snapToGrid w:val="0"/>
        <w:spacing w:before="0" w:beforeLines="0" w:after="0" w:afterLines="0" w:line="570" w:lineRule="exact"/>
        <w:ind w:firstLine="480" w:firstLineChars="200"/>
        <w:textAlignment w:val="auto"/>
        <w:rPr>
          <w:rFonts w:hint="eastAsia" w:hAnsi="宋体" w:cs="宋体"/>
        </w:rPr>
      </w:pPr>
      <w:r>
        <w:rPr>
          <w:rFonts w:hint="eastAsia" w:hAnsi="宋体" w:cs="宋体"/>
        </w:rPr>
        <w:t>适应性维护的要求包括：</w:t>
      </w:r>
    </w:p>
    <w:p w14:paraId="7116C6EE">
      <w:pPr>
        <w:keepNext w:val="0"/>
        <w:keepLines w:val="0"/>
        <w:pageBreakBefore w:val="0"/>
        <w:numPr>
          <w:ilvl w:val="0"/>
          <w:numId w:val="0"/>
        </w:numPr>
        <w:kinsoku/>
        <w:wordWrap/>
        <w:overflowPunct/>
        <w:topLinePunct w:val="0"/>
        <w:autoSpaceDE/>
        <w:autoSpaceDN/>
        <w:bidi w:val="0"/>
        <w:snapToGrid w:val="0"/>
        <w:spacing w:beforeLines="0" w:afterLines="0" w:line="570" w:lineRule="exact"/>
        <w:ind w:firstLine="460" w:firstLineChars="200"/>
        <w:textAlignment w:val="auto"/>
        <w:rPr>
          <w:rFonts w:hint="eastAsia" w:hAnsi="宋体" w:cs="宋体"/>
          <w:bCs/>
          <w:spacing w:val="-5"/>
        </w:rPr>
      </w:pPr>
      <w:r>
        <w:rPr>
          <w:rFonts w:hint="eastAsia" w:hAnsi="宋体" w:cs="宋体"/>
          <w:bCs/>
          <w:spacing w:val="-5"/>
          <w:lang w:eastAsia="zh-CN"/>
        </w:rPr>
        <w:t>（1）</w:t>
      </w:r>
      <w:r>
        <w:rPr>
          <w:rFonts w:hint="eastAsia" w:hAnsi="宋体" w:cs="宋体"/>
          <w:bCs/>
          <w:spacing w:val="-5"/>
        </w:rPr>
        <w:t>接口修改：提供因政策或医院需求产生的HIS系统接口修改服务，包括广州市医保接口（</w:t>
      </w:r>
      <w:r>
        <w:rPr>
          <w:rFonts w:hint="eastAsia" w:hAnsi="宋体" w:cs="宋体"/>
          <w:bCs/>
          <w:spacing w:val="-5"/>
          <w:lang w:eastAsia="zh-CN"/>
        </w:rPr>
        <w:t>仅限</w:t>
      </w:r>
      <w:r>
        <w:rPr>
          <w:rFonts w:hint="eastAsia" w:hAnsi="宋体" w:cs="宋体"/>
          <w:bCs/>
          <w:spacing w:val="-5"/>
        </w:rPr>
        <w:t>现有医保结算范围）、在用公费医疗及在用第三方系统接口（不含新增第三方软件接口）。</w:t>
      </w:r>
    </w:p>
    <w:p w14:paraId="11DA827D">
      <w:pPr>
        <w:keepNext w:val="0"/>
        <w:keepLines w:val="0"/>
        <w:pageBreakBefore w:val="0"/>
        <w:numPr>
          <w:ilvl w:val="0"/>
          <w:numId w:val="0"/>
        </w:numPr>
        <w:kinsoku/>
        <w:wordWrap/>
        <w:overflowPunct/>
        <w:topLinePunct w:val="0"/>
        <w:autoSpaceDE/>
        <w:autoSpaceDN/>
        <w:bidi w:val="0"/>
        <w:snapToGrid w:val="0"/>
        <w:spacing w:beforeLines="0" w:afterLines="0" w:line="570" w:lineRule="exact"/>
        <w:ind w:firstLine="460" w:firstLineChars="200"/>
        <w:textAlignment w:val="auto"/>
        <w:rPr>
          <w:rFonts w:hint="eastAsia" w:hAnsi="宋体" w:cs="宋体"/>
          <w:bCs/>
          <w:spacing w:val="-5"/>
        </w:rPr>
      </w:pPr>
      <w:r>
        <w:rPr>
          <w:rFonts w:hint="eastAsia" w:hAnsi="宋体" w:cs="宋体"/>
          <w:bCs/>
          <w:spacing w:val="-5"/>
          <w:lang w:eastAsia="zh-CN"/>
        </w:rPr>
        <w:t>（2）按照</w:t>
      </w:r>
      <w:r>
        <w:rPr>
          <w:rFonts w:hint="eastAsia" w:hAnsi="宋体" w:cs="宋体"/>
          <w:bCs/>
          <w:spacing w:val="-5"/>
        </w:rPr>
        <w:t>广东省规定的发票新格式要求，对医院的HIS系统进行发票新格式调整。</w:t>
      </w:r>
    </w:p>
    <w:p w14:paraId="1062319E">
      <w:pPr>
        <w:keepNext w:val="0"/>
        <w:keepLines w:val="0"/>
        <w:pageBreakBefore w:val="0"/>
        <w:kinsoku/>
        <w:wordWrap/>
        <w:overflowPunct/>
        <w:topLinePunct w:val="0"/>
        <w:bidi w:val="0"/>
        <w:spacing w:line="570" w:lineRule="exact"/>
        <w:ind w:firstLine="460" w:firstLineChars="200"/>
        <w:textAlignment w:val="auto"/>
        <w:rPr>
          <w:rFonts w:hint="eastAsia" w:eastAsia="宋体"/>
          <w:lang w:eastAsia="zh-CN"/>
        </w:rPr>
      </w:pPr>
      <w:r>
        <w:rPr>
          <w:rFonts w:hint="eastAsia" w:hAnsi="宋体" w:cs="宋体"/>
          <w:bCs/>
          <w:spacing w:val="-5"/>
          <w:lang w:eastAsia="zh-CN"/>
        </w:rPr>
        <w:t>（3）根据医院业务扩展需求，新增统计分析功能。</w:t>
      </w:r>
    </w:p>
    <w:p w14:paraId="3000CF52">
      <w:pPr>
        <w:keepNext w:val="0"/>
        <w:keepLines w:val="0"/>
        <w:pageBreakBefore w:val="0"/>
        <w:kinsoku/>
        <w:wordWrap/>
        <w:overflowPunct/>
        <w:topLinePunct w:val="0"/>
        <w:bidi w:val="0"/>
        <w:spacing w:line="570" w:lineRule="exact"/>
        <w:ind w:firstLine="460" w:firstLineChars="200"/>
        <w:textAlignment w:val="auto"/>
        <w:rPr>
          <w:rFonts w:hint="eastAsia" w:eastAsia="宋体"/>
          <w:lang w:eastAsia="zh-CN"/>
        </w:rPr>
      </w:pPr>
      <w:r>
        <w:rPr>
          <w:rFonts w:hint="eastAsia" w:hAnsi="宋体" w:cs="宋体"/>
          <w:bCs/>
          <w:spacing w:val="-5"/>
          <w:lang w:eastAsia="zh-CN"/>
        </w:rPr>
        <w:t>（4）根据操作情况设置更简便的操作界面，并处理因操作错误影响正常使用的特殊需求修改。</w:t>
      </w:r>
    </w:p>
    <w:p w14:paraId="4685A949">
      <w:pPr>
        <w:keepNext w:val="0"/>
        <w:keepLines w:val="0"/>
        <w:pageBreakBefore w:val="0"/>
        <w:kinsoku/>
        <w:wordWrap/>
        <w:overflowPunct/>
        <w:topLinePunct w:val="0"/>
        <w:bidi w:val="0"/>
        <w:spacing w:line="570" w:lineRule="exact"/>
        <w:ind w:firstLine="460" w:firstLineChars="200"/>
        <w:textAlignment w:val="auto"/>
        <w:rPr>
          <w:rFonts w:hint="eastAsia" w:eastAsia="宋体"/>
          <w:lang w:eastAsia="zh-CN"/>
        </w:rPr>
      </w:pPr>
      <w:r>
        <w:rPr>
          <w:rFonts w:hint="eastAsia" w:hAnsi="宋体" w:cs="宋体"/>
          <w:bCs/>
          <w:spacing w:val="-5"/>
          <w:lang w:eastAsia="zh-CN"/>
        </w:rPr>
        <w:t>（5）对于合理且不影响当前软件业务流程、数据流程及核心模块的需求，配合医院完成程序的二次修改。</w:t>
      </w:r>
    </w:p>
    <w:p w14:paraId="2ACA7D53">
      <w:pPr>
        <w:keepNext w:val="0"/>
        <w:keepLines w:val="0"/>
        <w:pageBreakBefore w:val="0"/>
        <w:numPr>
          <w:ilvl w:val="0"/>
          <w:numId w:val="0"/>
        </w:numPr>
        <w:kinsoku/>
        <w:wordWrap/>
        <w:overflowPunct/>
        <w:topLinePunct w:val="0"/>
        <w:autoSpaceDE/>
        <w:autoSpaceDN/>
        <w:bidi w:val="0"/>
        <w:snapToGrid w:val="0"/>
        <w:spacing w:beforeLines="0" w:afterLines="0" w:line="570" w:lineRule="exact"/>
        <w:ind w:firstLine="460" w:firstLineChars="200"/>
        <w:textAlignment w:val="auto"/>
        <w:rPr>
          <w:rFonts w:hint="eastAsia" w:hAnsi="宋体" w:cs="宋体"/>
          <w:bCs/>
          <w:spacing w:val="-5"/>
        </w:rPr>
      </w:pPr>
      <w:r>
        <w:rPr>
          <w:rFonts w:hint="eastAsia" w:hAnsi="宋体" w:cs="宋体"/>
          <w:bCs/>
          <w:spacing w:val="-5"/>
          <w:lang w:eastAsia="zh-CN"/>
        </w:rPr>
        <w:t>（6）</w:t>
      </w:r>
      <w:r>
        <w:rPr>
          <w:rFonts w:hint="eastAsia" w:hAnsi="宋体" w:cs="宋体"/>
          <w:bCs/>
          <w:spacing w:val="-5"/>
        </w:rPr>
        <w:t>以上服务不涉及软件底层库结构的修改。</w:t>
      </w:r>
    </w:p>
    <w:p w14:paraId="35368FED">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outlineLvl w:val="0"/>
        <w:rPr>
          <w:rFonts w:hint="eastAsia" w:hAnsi="宋体" w:cs="宋体"/>
          <w:b/>
        </w:rPr>
      </w:pPr>
      <w:r>
        <w:rPr>
          <w:rFonts w:hint="eastAsia" w:hAnsi="宋体" w:cs="宋体"/>
          <w:b/>
        </w:rPr>
        <w:t>不在以上范围内的服务需求以约定为准。</w:t>
      </w:r>
    </w:p>
    <w:p w14:paraId="093C4879">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hAnsi="宋体" w:cs="宋体"/>
          <w:b/>
        </w:rPr>
      </w:pPr>
      <w:r>
        <w:rPr>
          <w:rFonts w:hint="eastAsia" w:hAnsi="宋体" w:cs="宋体"/>
          <w:b/>
          <w:lang w:val="en-US" w:eastAsia="zh-CN"/>
        </w:rPr>
        <w:t>4</w:t>
      </w:r>
      <w:r>
        <w:rPr>
          <w:rFonts w:hint="eastAsia" w:hAnsi="宋体" w:cs="宋体"/>
          <w:bCs/>
          <w:spacing w:val="-5"/>
          <w:lang w:eastAsia="zh-CN"/>
        </w:rPr>
        <w:t xml:space="preserve">. </w:t>
      </w:r>
      <w:r>
        <w:rPr>
          <w:rFonts w:hint="eastAsia" w:hAnsi="宋体" w:cs="宋体"/>
          <w:b/>
        </w:rPr>
        <w:t>用户培训与业务支持</w:t>
      </w:r>
    </w:p>
    <w:p w14:paraId="78A4207D">
      <w:pPr>
        <w:pStyle w:val="8"/>
        <w:keepNext w:val="0"/>
        <w:keepLines w:val="0"/>
        <w:pageBreakBefore w:val="0"/>
        <w:widowControl w:val="0"/>
        <w:tabs>
          <w:tab w:val="left" w:pos="0"/>
          <w:tab w:val="left" w:pos="900"/>
        </w:tabs>
        <w:kinsoku/>
        <w:wordWrap/>
        <w:overflowPunct/>
        <w:topLinePunct w:val="0"/>
        <w:autoSpaceDE/>
        <w:autoSpaceDN/>
        <w:bidi w:val="0"/>
        <w:adjustRightInd w:val="0"/>
        <w:snapToGrid w:val="0"/>
        <w:spacing w:beforeLines="0" w:afterLines="0" w:line="570" w:lineRule="exact"/>
        <w:ind w:left="0" w:leftChars="0" w:firstLine="480" w:firstLineChars="200"/>
        <w:textAlignment w:val="auto"/>
        <w:rPr>
          <w:rFonts w:hint="eastAsia" w:eastAsia="宋体"/>
          <w:lang w:eastAsia="zh-CN"/>
        </w:rPr>
      </w:pPr>
      <w:r>
        <w:rPr>
          <w:rFonts w:hint="eastAsia" w:asciiTheme="minorEastAsia" w:hAnsiTheme="minorEastAsia" w:eastAsiaTheme="minorEastAsia" w:cstheme="minorEastAsia"/>
          <w:kern w:val="2"/>
          <w:sz w:val="24"/>
          <w:lang w:eastAsia="zh-CN"/>
        </w:rPr>
        <w:t>用户培训主要包括面向全院业务人员的培训及面向系统管理人员的培训，内容为现有医院信息系统软件产品的操作及维护培训。</w:t>
      </w:r>
    </w:p>
    <w:p w14:paraId="3474B597">
      <w:pPr>
        <w:keepNext w:val="0"/>
        <w:keepLines w:val="0"/>
        <w:pageBreakBefore w:val="0"/>
        <w:widowControl w:val="0"/>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kern w:val="2"/>
          <w:lang w:eastAsia="zh-CN"/>
        </w:rPr>
        <w:t>业务支持主要是解决医院日常业务人员遇到的技术问题；如有特殊要求，可组织集体培训。</w:t>
      </w:r>
    </w:p>
    <w:p w14:paraId="630C6D2F">
      <w:pPr>
        <w:pStyle w:val="2"/>
        <w:keepNext w:val="0"/>
        <w:keepLines w:val="0"/>
        <w:pageBreakBefore w:val="0"/>
        <w:kinsoku/>
        <w:wordWrap/>
        <w:overflowPunct/>
        <w:topLinePunct w:val="0"/>
        <w:bidi w:val="0"/>
        <w:snapToGrid w:val="0"/>
        <w:spacing w:beforeLines="0" w:afterLines="0" w:line="570" w:lineRule="exact"/>
        <w:ind w:firstLine="482" w:firstLineChars="200"/>
        <w:textAlignment w:val="auto"/>
        <w:rPr>
          <w:rFonts w:hint="eastAsia"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5</w:t>
      </w:r>
      <w:r>
        <w:rPr>
          <w:rFonts w:hint="eastAsia" w:ascii="宋体" w:hAnsi="宋体" w:cs="宋体"/>
          <w:b/>
          <w:color w:val="auto"/>
          <w:kern w:val="0"/>
          <w:sz w:val="24"/>
          <w:lang w:val="en-US" w:eastAsia="zh-CN"/>
        </w:rPr>
        <w:t>. 提供1名工程师</w:t>
      </w:r>
      <w:r>
        <w:rPr>
          <w:rFonts w:hint="eastAsia" w:ascii="宋体" w:hAnsi="宋体" w:eastAsia="宋体" w:cs="宋体"/>
          <w:b/>
          <w:color w:val="auto"/>
          <w:kern w:val="0"/>
          <w:sz w:val="24"/>
          <w:lang w:val="en-US" w:eastAsia="zh-CN"/>
        </w:rPr>
        <w:t>驻场服务</w:t>
      </w:r>
    </w:p>
    <w:p w14:paraId="1A5B7385">
      <w:pPr>
        <w:keepNext w:val="0"/>
        <w:keepLines w:val="0"/>
        <w:pageBreakBefore w:val="0"/>
        <w:kinsoku/>
        <w:wordWrap/>
        <w:overflowPunct/>
        <w:topLinePunct w:val="0"/>
        <w:autoSpaceDE/>
        <w:autoSpaceDN/>
        <w:bidi w:val="0"/>
        <w:snapToGrid w:val="0"/>
        <w:spacing w:beforeLines="0" w:afterLines="0" w:line="570" w:lineRule="exact"/>
        <w:ind w:firstLine="480" w:firstLineChars="200"/>
        <w:textAlignment w:val="auto"/>
        <w:rPr>
          <w:rFonts w:hint="eastAsia" w:asciiTheme="minorEastAsia" w:hAnsiTheme="minorEastAsia" w:eastAsiaTheme="minorEastAsia"/>
        </w:rPr>
      </w:pPr>
      <w:r>
        <w:rPr>
          <w:rFonts w:hint="eastAsia" w:asciiTheme="minorEastAsia" w:hAnsiTheme="minorEastAsia" w:eastAsiaTheme="minorEastAsia"/>
        </w:rPr>
        <w:t>提</w:t>
      </w:r>
      <w:r>
        <w:rPr>
          <w:rFonts w:hint="eastAsia" w:asciiTheme="minorEastAsia" w:hAnsiTheme="minorEastAsia" w:eastAsiaTheme="minorEastAsia"/>
          <w:u w:val="none"/>
        </w:rPr>
        <w:t>供</w:t>
      </w:r>
      <w:r>
        <w:rPr>
          <w:rFonts w:hint="eastAsia" w:asciiTheme="minorEastAsia" w:hAnsiTheme="minorEastAsia" w:eastAsiaTheme="minorEastAsia"/>
          <w:u w:val="none"/>
          <w:lang w:val="en-US" w:eastAsia="zh-CN"/>
        </w:rPr>
        <w:t>1名工</w:t>
      </w:r>
      <w:r>
        <w:rPr>
          <w:rFonts w:hint="eastAsia" w:asciiTheme="minorEastAsia" w:hAnsiTheme="minorEastAsia" w:eastAsiaTheme="minorEastAsia"/>
          <w:lang w:val="en-US" w:eastAsia="zh-CN"/>
        </w:rPr>
        <w:t>程师</w:t>
      </w:r>
      <w:r>
        <w:rPr>
          <w:rFonts w:hint="eastAsia" w:asciiTheme="minorEastAsia" w:hAnsiTheme="minorEastAsia" w:eastAsiaTheme="minorEastAsia"/>
        </w:rPr>
        <w:t>5*8小时</w:t>
      </w:r>
      <w:r>
        <w:rPr>
          <w:rFonts w:hint="eastAsia" w:asciiTheme="minorEastAsia" w:hAnsiTheme="minorEastAsia" w:eastAsiaTheme="minorEastAsia"/>
          <w:lang w:val="en-US" w:eastAsia="zh-CN"/>
        </w:rPr>
        <w:t>驻</w:t>
      </w:r>
      <w:r>
        <w:rPr>
          <w:rFonts w:hint="eastAsia" w:asciiTheme="minorEastAsia" w:hAnsiTheme="minorEastAsia" w:eastAsiaTheme="minorEastAsia"/>
        </w:rPr>
        <w:t>场服务，</w:t>
      </w:r>
      <w:r>
        <w:rPr>
          <w:rFonts w:hint="eastAsia" w:asciiTheme="minorEastAsia" w:hAnsiTheme="minorEastAsia" w:eastAsiaTheme="minorEastAsia"/>
          <w:lang w:val="en-US" w:eastAsia="zh-CN"/>
        </w:rPr>
        <w:t>驻场人员需具有计算机专业本科及以上学历，三年以上医院信息系统实施或维护工作经验，</w:t>
      </w:r>
      <w:r>
        <w:rPr>
          <w:rFonts w:hint="eastAsia" w:asciiTheme="minorEastAsia" w:hAnsiTheme="minorEastAsia" w:eastAsiaTheme="minorEastAsia"/>
          <w:lang w:eastAsia="zh-CN"/>
        </w:rPr>
        <w:t>且</w:t>
      </w:r>
      <w:r>
        <w:rPr>
          <w:rFonts w:hint="eastAsia" w:asciiTheme="minorEastAsia" w:hAnsiTheme="minorEastAsia" w:eastAsiaTheme="minorEastAsia"/>
        </w:rPr>
        <w:t>须在医院信息科指定地点办公</w:t>
      </w:r>
      <w:r>
        <w:rPr>
          <w:rFonts w:hint="eastAsia" w:asciiTheme="minorEastAsia" w:hAnsiTheme="minorEastAsia" w:eastAsiaTheme="minorEastAsia"/>
          <w:lang w:eastAsia="zh-CN"/>
        </w:rPr>
        <w:t>。并纳入医院信息科日常管理与工作调度体系，</w:t>
      </w:r>
      <w:r>
        <w:rPr>
          <w:rFonts w:hint="eastAsia" w:asciiTheme="minorEastAsia" w:hAnsiTheme="minorEastAsia" w:eastAsiaTheme="minorEastAsia"/>
          <w:lang w:val="en-US" w:eastAsia="zh-CN"/>
        </w:rPr>
        <w:t>配合医院开展信息运维工作。</w:t>
      </w:r>
      <w:r>
        <w:rPr>
          <w:rFonts w:hint="eastAsia" w:asciiTheme="minorEastAsia" w:hAnsiTheme="minorEastAsia" w:eastAsiaTheme="minorEastAsia"/>
        </w:rPr>
        <w:t>其核心职责如下：承担临床一线软件故障的快速处置</w:t>
      </w:r>
      <w:r>
        <w:rPr>
          <w:rFonts w:hint="eastAsia" w:asciiTheme="minorEastAsia" w:hAnsiTheme="minorEastAsia" w:eastAsiaTheme="minorEastAsia"/>
          <w:lang w:eastAsia="zh-CN"/>
        </w:rPr>
        <w:t>工作</w:t>
      </w:r>
      <w:r>
        <w:rPr>
          <w:rFonts w:hint="eastAsia" w:asciiTheme="minorEastAsia" w:hAnsiTheme="minorEastAsia" w:eastAsiaTheme="minorEastAsia"/>
        </w:rPr>
        <w:t>，接到报修后须在20分钟内抵达现场处理，确保问题第一时间</w:t>
      </w:r>
      <w:r>
        <w:rPr>
          <w:rFonts w:hint="eastAsia" w:asciiTheme="minorEastAsia" w:hAnsiTheme="minorEastAsia" w:eastAsiaTheme="minorEastAsia"/>
          <w:lang w:eastAsia="zh-CN"/>
        </w:rPr>
        <w:t>得到</w:t>
      </w:r>
      <w:r>
        <w:rPr>
          <w:rFonts w:hint="eastAsia" w:asciiTheme="minorEastAsia" w:hAnsiTheme="minorEastAsia" w:eastAsiaTheme="minorEastAsia"/>
        </w:rPr>
        <w:t>解决；建立常态化主动巡检机制，每日对重点科室进行走访排查，及时发现并消除潜在运行风险；在门诊高峰期及系统升级等关键节点提供现场技术保障，确保医疗业务平稳运行；全面记录驻点期间各类事件的处理过程，定期汇总并提交运维总结报告，</w:t>
      </w:r>
      <w:r>
        <w:rPr>
          <w:rFonts w:hint="eastAsia" w:asciiTheme="minorEastAsia" w:hAnsiTheme="minorEastAsia" w:eastAsiaTheme="minorEastAsia"/>
          <w:lang w:val="en-US" w:eastAsia="zh-CN"/>
        </w:rPr>
        <w:t>跟进医院信息系统需求，</w:t>
      </w:r>
      <w:r>
        <w:rPr>
          <w:rFonts w:hint="eastAsia" w:asciiTheme="minorEastAsia" w:hAnsiTheme="minorEastAsia" w:eastAsiaTheme="minorEastAsia"/>
        </w:rPr>
        <w:t>为医院信息化管理提供决策依据，切实形成服务闭环。</w:t>
      </w:r>
    </w:p>
    <w:p w14:paraId="24B6E961">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lang w:val="en-US" w:eastAsia="zh-CN"/>
        </w:rPr>
        <w:t>二</w:t>
      </w: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rPr>
        <w:t>数据库运维（HIS系统、LIS系统、PACS系统、EMR系统数据库）</w:t>
      </w:r>
    </w:p>
    <w:p w14:paraId="1823E1F1">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1</w:t>
      </w:r>
      <w:r>
        <w:rPr>
          <w:rFonts w:hint="eastAsia" w:hAnsi="宋体" w:cs="宋体"/>
          <w:bCs/>
          <w:spacing w:val="-5"/>
          <w:lang w:eastAsia="zh-CN"/>
        </w:rPr>
        <w:t>．</w:t>
      </w:r>
      <w:r>
        <w:rPr>
          <w:rFonts w:hint="eastAsia" w:asciiTheme="minorEastAsia" w:hAnsiTheme="minorEastAsia" w:eastAsiaTheme="minorEastAsia" w:cstheme="minorEastAsia"/>
          <w:b/>
        </w:rPr>
        <w:t>服务方式</w:t>
      </w:r>
    </w:p>
    <w:p w14:paraId="339F9AC4">
      <w:pPr>
        <w:keepNext w:val="0"/>
        <w:keepLines w:val="0"/>
        <w:pageBreakBefore w:val="0"/>
        <w:kinsoku/>
        <w:wordWrap/>
        <w:overflowPunct/>
        <w:topLinePunct w:val="0"/>
        <w:autoSpaceDE/>
        <w:autoSpaceDN/>
        <w:bidi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现场服务：应提供1年4次上门巡检，包括季度或者季度巡检、重大故障、系统升级等现场支持服务。</w:t>
      </w:r>
    </w:p>
    <w:p w14:paraId="0D011E3C">
      <w:pPr>
        <w:keepNext w:val="0"/>
        <w:keepLines w:val="0"/>
        <w:pageBreakBefore w:val="0"/>
        <w:kinsoku/>
        <w:wordWrap/>
        <w:overflowPunct/>
        <w:topLinePunct w:val="0"/>
        <w:autoSpaceDE/>
        <w:autoSpaceDN/>
        <w:bidi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远</w:t>
      </w:r>
      <w:r>
        <w:rPr>
          <w:rFonts w:hint="eastAsia" w:asciiTheme="minorEastAsia" w:hAnsiTheme="minorEastAsia" w:eastAsiaTheme="minorEastAsia" w:cstheme="minorEastAsia"/>
        </w:rPr>
        <w:t>程支持：1年不定期远程服务、巡检、监控，重大故障或事件现场支持。应包括日常的巡检服务、非重大故障的技术处理，应可以采取电话支持、邮件支持、远程接入等多种服务方式。</w:t>
      </w:r>
    </w:p>
    <w:p w14:paraId="7EF18CC7">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2</w:t>
      </w:r>
      <w:r>
        <w:rPr>
          <w:rFonts w:hint="eastAsia" w:hAnsi="宋体" w:cs="宋体"/>
          <w:bCs/>
          <w:spacing w:val="-5"/>
          <w:lang w:eastAsia="zh-CN"/>
        </w:rPr>
        <w:t>．</w:t>
      </w:r>
      <w:r>
        <w:rPr>
          <w:rFonts w:hint="eastAsia" w:asciiTheme="minorEastAsia" w:hAnsiTheme="minorEastAsia" w:eastAsiaTheme="minorEastAsia" w:cstheme="minorEastAsia"/>
          <w:b/>
        </w:rPr>
        <w:t>服务内容</w:t>
      </w:r>
    </w:p>
    <w:p w14:paraId="10FBE663">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60" w:firstLineChars="200"/>
        <w:textAlignment w:val="auto"/>
        <w:rPr>
          <w:rFonts w:hint="eastAsia" w:eastAsia="宋体"/>
          <w:lang w:eastAsia="zh-CN"/>
        </w:rPr>
      </w:pPr>
      <w:r>
        <w:rPr>
          <w:rFonts w:hint="eastAsia" w:asciiTheme="minorEastAsia" w:hAnsiTheme="minorEastAsia" w:eastAsiaTheme="minorEastAsia" w:cstheme="minorEastAsia"/>
          <w:bCs/>
          <w:spacing w:val="-5"/>
          <w:lang w:eastAsia="zh-CN"/>
        </w:rPr>
        <w:t>（1）</w:t>
      </w:r>
      <w:r>
        <w:rPr>
          <w:rFonts w:hint="eastAsia" w:asciiTheme="minorEastAsia" w:hAnsiTheme="minorEastAsia" w:eastAsiaTheme="minorEastAsia" w:cstheme="minorEastAsia"/>
          <w:lang w:eastAsia="zh-CN"/>
        </w:rPr>
        <w:t>对数据库系统环境进行检查与支持，开展健康检查工作，包括配置情况、运行状态、性能表现、参数设置、表空间使用、控制文件、日志文件及备份系统等方面的检查，并提交相应健康检查报告供用户存档；</w:t>
      </w:r>
    </w:p>
    <w:p w14:paraId="3C535E48">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60" w:firstLineChars="200"/>
        <w:textAlignment w:val="auto"/>
        <w:rPr>
          <w:rFonts w:hint="eastAsia" w:eastAsia="宋体"/>
          <w:lang w:eastAsia="zh-CN"/>
        </w:rPr>
      </w:pPr>
      <w:r>
        <w:rPr>
          <w:rFonts w:hint="eastAsia" w:asciiTheme="minorEastAsia" w:hAnsiTheme="minorEastAsia" w:eastAsiaTheme="minorEastAsia" w:cstheme="minorEastAsia"/>
          <w:bCs/>
          <w:spacing w:val="-5"/>
          <w:lang w:eastAsia="zh-CN"/>
        </w:rPr>
        <w:t>（2）</w:t>
      </w:r>
      <w:r>
        <w:rPr>
          <w:rFonts w:hint="eastAsia" w:asciiTheme="minorEastAsia" w:hAnsiTheme="minorEastAsia" w:eastAsiaTheme="minorEastAsia" w:cstheme="minorEastAsia"/>
          <w:lang w:eastAsia="zh-CN"/>
        </w:rPr>
        <w:t>针对数据库进行性能优化，通过调整数据库实例改善系统性能、缩短响应时间、提升生产能力；通过对比数据库命中率判别整体性能改善情况；评估备份恢复策略，优化数据库启动与关闭所需时间；</w:t>
      </w:r>
    </w:p>
    <w:p w14:paraId="369E00DC">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（3）故障或问题出现时，立即开展不间断工作直至故障排除；若故障涉及多系统层面及多家厂商，以中立态度辅助用户诊断故障，提高问题解决效率，相关第三方费用由用户方承担；</w:t>
      </w:r>
    </w:p>
    <w:p w14:paraId="7DC21AE0">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（4）根据数据库系统运行实际情况，按需提供可回溯的小版本升级或补丁安装服务，操作前后需做好充分的数据备份与测试工作；</w:t>
      </w:r>
    </w:p>
    <w:p w14:paraId="545C7250">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应按需提供非第三方产品的数据库备份和恢复策略指导，包括审阅现有备份/恢复策略，改善和优化备份/恢复策略，进行数据库灾难恢复测试等；</w:t>
      </w:r>
    </w:p>
    <w:p w14:paraId="627F1345">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（6）及时提供重要问题通知及相关技术建议；</w:t>
      </w:r>
    </w:p>
    <w:p w14:paraId="1D8319F7">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7）通过实际问题的发现与处理过程，与用户开展技术沟通交流，传递知识与技能，帮助用户提升管理维护水平；</w:t>
      </w:r>
    </w:p>
    <w:p w14:paraId="58FC4A33">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60" w:firstLineChars="200"/>
        <w:textAlignment w:val="auto"/>
        <w:rPr>
          <w:rFonts w:hint="eastAsia" w:eastAsia="宋体"/>
          <w:lang w:eastAsia="zh-CN"/>
        </w:rPr>
      </w:pPr>
      <w:r>
        <w:rPr>
          <w:rFonts w:hint="eastAsia" w:asciiTheme="minorEastAsia" w:hAnsiTheme="minorEastAsia" w:eastAsiaTheme="minorEastAsia" w:cstheme="minorEastAsia"/>
          <w:bCs/>
          <w:spacing w:val="-5"/>
          <w:lang w:val="en-US" w:eastAsia="zh-CN"/>
        </w:rPr>
        <w:t>（8）</w:t>
      </w:r>
      <w:r>
        <w:rPr>
          <w:rFonts w:hint="eastAsia" w:asciiTheme="minorEastAsia" w:hAnsiTheme="minorEastAsia" w:eastAsiaTheme="minorEastAsia" w:cstheme="minorEastAsia"/>
          <w:lang w:val="en-US" w:eastAsia="zh-CN"/>
        </w:rPr>
        <w:t>针对巡检服务提供包含服务明细、建议等内容的巡检报告，服务结束后向用户方进行汇报、交流与商谈，持续提升服务质量与效率；</w:t>
      </w:r>
    </w:p>
    <w:p w14:paraId="19515EF8">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（9）提供HIS核心业务数据库运维服务，该服务聚焦数据库系统的现场支持与运维，不承担硬件设备故障的无偿维修义务；对于硬件设备维修，乙方应积极配合相关原厂商或硬件供应商解决问题；</w:t>
      </w:r>
    </w:p>
    <w:p w14:paraId="0F3A62A6">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（10）提供HIS、LIS、EMR核心业务数据库优化服务，协助医院解决因数据库问题导致的系统运行异常情况。</w:t>
      </w:r>
    </w:p>
    <w:p w14:paraId="44FC4368">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outlineLvl w:val="0"/>
        <w:rPr>
          <w:rFonts w:hint="eastAsia" w:asciiTheme="minorEastAsia" w:hAnsiTheme="minorEastAsia" w:eastAsiaTheme="minorEastAsia" w:cstheme="minorEastAsia"/>
          <w:b/>
          <w:highlight w:val="yellow"/>
        </w:rPr>
      </w:pPr>
      <w:r>
        <w:rPr>
          <w:rFonts w:hint="eastAsia" w:asciiTheme="minorEastAsia" w:hAnsiTheme="minorEastAsia" w:eastAsiaTheme="minorEastAsia" w:cstheme="minorEastAsia"/>
          <w:b/>
          <w:highlight w:val="none"/>
          <w:lang w:val="en-US" w:eastAsia="zh-CN"/>
        </w:rPr>
        <w:t>（三）</w:t>
      </w:r>
      <w:r>
        <w:rPr>
          <w:rFonts w:hint="eastAsia" w:asciiTheme="minorEastAsia" w:hAnsiTheme="minorEastAsia" w:eastAsiaTheme="minorEastAsia" w:cstheme="minorEastAsia"/>
          <w:b/>
          <w:lang w:val="en-US" w:eastAsia="zh-CN"/>
        </w:rPr>
        <w:t>其他</w:t>
      </w:r>
      <w:r>
        <w:rPr>
          <w:rFonts w:hint="eastAsia" w:asciiTheme="minorEastAsia" w:hAnsiTheme="minorEastAsia" w:eastAsiaTheme="minorEastAsia" w:cstheme="minorEastAsia"/>
          <w:b/>
          <w:highlight w:val="none"/>
        </w:rPr>
        <w:t>运维服务要求</w:t>
      </w:r>
    </w:p>
    <w:p w14:paraId="75E9EACB">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outlineLvl w:val="9"/>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1.</w:t>
      </w:r>
      <w:r>
        <w:rPr>
          <w:rFonts w:hint="eastAsia" w:asciiTheme="minorEastAsia" w:hAnsiTheme="minorEastAsia" w:eastAsiaTheme="minorEastAsia" w:cstheme="minorEastAsia"/>
          <w:b/>
        </w:rPr>
        <w:t>紧急服务</w:t>
      </w:r>
    </w:p>
    <w:p w14:paraId="652B926C">
      <w:pPr>
        <w:keepNext w:val="0"/>
        <w:keepLines w:val="0"/>
        <w:pageBreakBefore w:val="0"/>
        <w:kinsoku/>
        <w:wordWrap/>
        <w:overflowPunct/>
        <w:topLinePunct w:val="0"/>
        <w:bidi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紧急服务指系统发生故障或无法满足用户环境需求时，开展的维修、维护或系统提升服务。内容包括：</w:t>
      </w:r>
    </w:p>
    <w:p w14:paraId="75123509">
      <w:pPr>
        <w:keepNext w:val="0"/>
        <w:keepLines w:val="0"/>
        <w:pageBreakBefore w:val="0"/>
        <w:kinsoku/>
        <w:wordWrap/>
        <w:overflowPunct/>
        <w:topLinePunct w:val="0"/>
        <w:bidi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（1）因医院管理信息系统软件算法或计算逻辑导致乱收费问题时，紧急协助医院相关人员处理；</w:t>
      </w:r>
    </w:p>
    <w:p w14:paraId="66C780A5">
      <w:pPr>
        <w:keepNext w:val="0"/>
        <w:keepLines w:val="0"/>
        <w:pageBreakBefore w:val="0"/>
        <w:kinsoku/>
        <w:wordWrap/>
        <w:overflowPunct/>
        <w:topLinePunct w:val="0"/>
        <w:autoSpaceDE/>
        <w:autoSpaceDN/>
        <w:bidi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（2）因意外情况导致医院管理信息系统软件及中心数据库服务器无法运行，如：雷雨天气导致中心机房断电断网、光纤网络中断等需要紧急协助医院相关人员进行处理。</w:t>
      </w:r>
    </w:p>
    <w:p w14:paraId="0E9F3461">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急服务通常以用户下达的技术服务任务单作为依据，在特殊情况下，可以先通过电话等方式报障或下达任务书。紧急服务时间：采取由用户下达任务书、服务方响应的方式，响应时间（到场）要求在2小时内，一级故障服务请求的响应时间（到场）要求在1小时内。</w:t>
      </w:r>
    </w:p>
    <w:p w14:paraId="22ADC8CB">
      <w:pPr>
        <w:keepNext w:val="0"/>
        <w:keepLines w:val="0"/>
        <w:pageBreakBefore w:val="0"/>
        <w:widowControl w:val="0"/>
        <w:numPr>
          <w:ilvl w:val="0"/>
          <w:numId w:val="2"/>
        </w:numPr>
        <w:kinsoku/>
        <w:wordWrap/>
        <w:overflowPunct/>
        <w:topLinePunct w:val="0"/>
        <w:bidi w:val="0"/>
        <w:adjustRightInd w:val="0"/>
        <w:spacing w:line="570" w:lineRule="exact"/>
        <w:ind w:firstLine="482" w:firstLineChars="200"/>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7×8小时在线服务</w:t>
      </w:r>
    </w:p>
    <w:p w14:paraId="47B873A6">
      <w:pPr>
        <w:keepNext w:val="0"/>
        <w:keepLines w:val="0"/>
        <w:pageBreakBefore w:val="0"/>
        <w:widowControl w:val="0"/>
        <w:numPr>
          <w:numId w:val="0"/>
        </w:numPr>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除现场支持外，驻场工程师通过QQ、微信等即时通讯工具与医院人员保持实时联系，提供在线咨询、问题解答及解决方案查询服务。对于复杂问题，由驻场工程师协调后方技术团队协同处理，并全程跟踪反馈进展。</w:t>
      </w:r>
    </w:p>
    <w:p w14:paraId="49AECE7B">
      <w:pPr>
        <w:keepNext w:val="0"/>
        <w:keepLines w:val="0"/>
        <w:pageBreakBefore w:val="0"/>
        <w:widowControl w:val="0"/>
        <w:numPr>
          <w:ilvl w:val="0"/>
          <w:numId w:val="2"/>
        </w:numPr>
        <w:kinsoku/>
        <w:wordWrap/>
        <w:overflowPunct/>
        <w:topLinePunct w:val="0"/>
        <w:bidi w:val="0"/>
        <w:adjustRightInd w:val="0"/>
        <w:spacing w:line="570" w:lineRule="exact"/>
        <w:ind w:left="0" w:leftChars="0" w:firstLine="482" w:firstLineChars="200"/>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7×24小时热线电话</w:t>
      </w:r>
    </w:p>
    <w:p w14:paraId="7B8B44C2">
      <w:pPr>
        <w:keepNext w:val="0"/>
        <w:keepLines w:val="0"/>
        <w:pageBreakBefore w:val="0"/>
        <w:widowControl w:val="0"/>
        <w:numPr>
          <w:numId w:val="0"/>
        </w:numPr>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设立7×24小时服务热线，由专业工程师团队轮值接听。医院人员可随时拨打热线电话或指定手机报修，紧急故障将立即转交驻场工程师或对应技术专家处理，确保实现全天候应急响应。</w:t>
      </w:r>
    </w:p>
    <w:p w14:paraId="75918D55">
      <w:pPr>
        <w:keepNext w:val="0"/>
        <w:keepLines w:val="0"/>
        <w:pageBreakBefore w:val="0"/>
        <w:widowControl w:val="0"/>
        <w:numPr>
          <w:ilvl w:val="0"/>
          <w:numId w:val="2"/>
        </w:numPr>
        <w:kinsoku/>
        <w:wordWrap/>
        <w:overflowPunct/>
        <w:topLinePunct w:val="0"/>
        <w:bidi w:val="0"/>
        <w:adjustRightInd w:val="0"/>
        <w:spacing w:line="570" w:lineRule="exact"/>
        <w:ind w:left="0" w:leftChars="0" w:firstLine="482" w:firstLineChars="200"/>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7×8小时远程服务</w:t>
      </w:r>
    </w:p>
    <w:p w14:paraId="31A4CD6A">
      <w:pPr>
        <w:keepNext w:val="0"/>
        <w:keepLines w:val="0"/>
        <w:pageBreakBefore w:val="0"/>
        <w:widowControl w:val="0"/>
        <w:numPr>
          <w:numId w:val="0"/>
        </w:numPr>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提供7×8小时远程服务，支持网上报修、电子邮件沟通及远程协助工具操作。驻场工程师可远程接入系统开展故障诊断、技术咨询及服务请求处理工作，提升问题解决效率。</w:t>
      </w:r>
    </w:p>
    <w:p w14:paraId="5479C0B5">
      <w:pPr>
        <w:keepNext w:val="0"/>
        <w:keepLines w:val="0"/>
        <w:pageBreakBefore w:val="0"/>
        <w:widowControl w:val="0"/>
        <w:kinsoku/>
        <w:wordWrap/>
        <w:overflowPunct/>
        <w:topLinePunct w:val="0"/>
        <w:bidi w:val="0"/>
        <w:adjustRightInd w:val="0"/>
        <w:spacing w:line="570" w:lineRule="exact"/>
        <w:ind w:firstLine="482" w:firstLineChars="200"/>
        <w:textAlignment w:val="auto"/>
        <w:rPr>
          <w:rFonts w:hint="eastAsia" w:eastAsia="宋体"/>
          <w:lang w:eastAsia="zh-CN"/>
        </w:rPr>
      </w:pP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lang w:val="en-US" w:eastAsia="zh-CN"/>
        </w:rPr>
        <w:t>. 定期科室巡检服务</w:t>
      </w:r>
    </w:p>
    <w:p w14:paraId="2A229246">
      <w:pPr>
        <w:keepNext w:val="0"/>
        <w:keepLines w:val="0"/>
        <w:pageBreakBefore w:val="0"/>
        <w:widowControl w:val="0"/>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lang w:eastAsia="zh-CN"/>
        </w:rPr>
        <w:t>（1）医院管理信息系统巡检服务要求：每季度至少开展一次，由驻场工程师前往各科室进行现场巡检，检查系统功能运行状况，收集并处理二次需求，保障系统持续优化。</w:t>
      </w:r>
    </w:p>
    <w:p w14:paraId="42E5F6F7">
      <w:pPr>
        <w:pStyle w:val="25"/>
        <w:keepNext w:val="0"/>
        <w:keepLines w:val="0"/>
        <w:pageBreakBefore w:val="0"/>
        <w:widowControl w:val="0"/>
        <w:numPr>
          <w:numId w:val="0"/>
        </w:numPr>
        <w:kinsoku/>
        <w:wordWrap/>
        <w:overflowPunct/>
        <w:topLinePunct w:val="0"/>
        <w:autoSpaceDE/>
        <w:autoSpaceDN/>
        <w:bidi w:val="0"/>
        <w:adjustRightInd w:val="0"/>
        <w:snapToGrid w:val="0"/>
        <w:spacing w:beforeLines="0" w:afterLines="0" w:line="570" w:lineRule="exact"/>
        <w:ind w:firstLine="480" w:firstLineChars="200"/>
        <w:textAlignment w:val="auto"/>
      </w:pPr>
      <w:r>
        <w:rPr>
          <w:rFonts w:hint="eastAsia" w:asciiTheme="minorEastAsia" w:hAnsiTheme="minorEastAsia" w:eastAsiaTheme="minorEastAsia"/>
          <w:lang w:eastAsia="zh-CN"/>
        </w:rPr>
        <w:t>（2）数据库软件巡检服务要求：在维保服务期内，乙方须提供每季度一次的数据库软件巡检服务，每次巡检至少安排1名工程师到现场服务，服务总人次不少于4次；开展系统检查及预防性维护工作，并出具包含系统检测项目及结果的书面报告，具体内容涵盖：系统运行环境检查</w:t>
      </w:r>
      <w:r>
        <w:rPr>
          <w:rFonts w:hint="eastAsia" w:asciiTheme="minorEastAsia" w:hAnsiTheme="minorEastAsia" w:eastAsiaTheme="minorEastAsia"/>
          <w:lang w:eastAsia="zh-CN"/>
        </w:rPr>
        <w:t>、</w:t>
      </w:r>
      <w:r>
        <w:rPr>
          <w:rFonts w:hint="eastAsia" w:asciiTheme="minorEastAsia" w:hAnsiTheme="minorEastAsia" w:eastAsiaTheme="minorEastAsia"/>
          <w:lang w:eastAsia="zh-CN"/>
        </w:rPr>
        <w:t>系统运行情况检查</w:t>
      </w:r>
      <w:r>
        <w:rPr>
          <w:rFonts w:hint="eastAsia" w:asciiTheme="minorEastAsia" w:hAnsiTheme="minorEastAsia" w:eastAsiaTheme="minorEastAsia"/>
          <w:lang w:eastAsia="zh-CN"/>
        </w:rPr>
        <w:t>、</w:t>
      </w:r>
      <w:r>
        <w:rPr>
          <w:rFonts w:hint="eastAsia" w:asciiTheme="minorEastAsia" w:hAnsiTheme="minorEastAsia" w:eastAsiaTheme="minorEastAsia"/>
          <w:lang w:eastAsia="zh-CN"/>
        </w:rPr>
        <w:t>系统错误日志分析</w:t>
      </w:r>
      <w:r>
        <w:rPr>
          <w:rFonts w:hint="eastAsia" w:asciiTheme="minorEastAsia" w:hAnsiTheme="minorEastAsia" w:eastAsiaTheme="minorEastAsia"/>
          <w:lang w:eastAsia="zh-CN"/>
        </w:rPr>
        <w:t>、</w:t>
      </w:r>
      <w:r>
        <w:rPr>
          <w:rFonts w:hint="eastAsia" w:asciiTheme="minorEastAsia" w:hAnsiTheme="minorEastAsia" w:eastAsiaTheme="minorEastAsia"/>
          <w:lang w:eastAsia="zh-CN"/>
        </w:rPr>
        <w:t>文件系统空间使用情况检查</w:t>
      </w:r>
      <w:r>
        <w:rPr>
          <w:rFonts w:hint="eastAsia" w:asciiTheme="minorEastAsia" w:hAnsiTheme="minorEastAsia" w:eastAsiaTheme="minorEastAsia"/>
          <w:lang w:eastAsia="zh-CN"/>
        </w:rPr>
        <w:t>、</w:t>
      </w:r>
      <w:r>
        <w:rPr>
          <w:rFonts w:hint="eastAsia" w:asciiTheme="minorEastAsia" w:hAnsiTheme="minorEastAsia" w:eastAsiaTheme="minorEastAsia"/>
          <w:lang w:eastAsia="zh-CN"/>
        </w:rPr>
        <w:t>系统运行状态分析</w:t>
      </w:r>
      <w:r>
        <w:rPr>
          <w:rFonts w:hint="eastAsia" w:asciiTheme="minorEastAsia" w:hAnsiTheme="minorEastAsia" w:eastAsiaTheme="minorEastAsia"/>
          <w:lang w:eastAsia="zh-CN"/>
        </w:rPr>
        <w:t>、</w:t>
      </w:r>
      <w:r>
        <w:rPr>
          <w:rFonts w:hint="eastAsia" w:asciiTheme="minorEastAsia" w:hAnsiTheme="minorEastAsia" w:eastAsiaTheme="minorEastAsia"/>
          <w:lang w:eastAsia="zh-CN"/>
        </w:rPr>
        <w:t>性能检查和优化。</w:t>
      </w:r>
    </w:p>
    <w:p w14:paraId="2097FDF6">
      <w:pPr>
        <w:keepNext w:val="0"/>
        <w:keepLines w:val="0"/>
        <w:pageBreakBefore w:val="0"/>
        <w:widowControl w:val="0"/>
        <w:kinsoku/>
        <w:wordWrap/>
        <w:overflowPunct/>
        <w:topLinePunct w:val="0"/>
        <w:bidi w:val="0"/>
        <w:adjustRightInd w:val="0"/>
        <w:spacing w:line="570" w:lineRule="exact"/>
        <w:textAlignment w:val="auto"/>
        <w:rPr>
          <w:rFonts w:hint="eastAsia" w:eastAsia="宋体"/>
          <w:lang w:eastAsia="zh-CN"/>
        </w:rPr>
      </w:pPr>
      <w:r>
        <w:rPr>
          <w:rFonts w:hint="eastAsia" w:asciiTheme="minorEastAsia" w:hAnsiTheme="minorEastAsia" w:eastAsiaTheme="minorEastAsia" w:cstheme="minorEastAsia"/>
          <w:b/>
          <w:bCs w:val="0"/>
          <w:lang w:val="en-US" w:eastAsia="zh-CN"/>
        </w:rPr>
        <w:t xml:space="preserve">6. </w:t>
      </w:r>
      <w:r>
        <w:rPr>
          <w:rFonts w:hint="eastAsia" w:asciiTheme="minorEastAsia" w:hAnsiTheme="minorEastAsia" w:eastAsiaTheme="minorEastAsia" w:cstheme="minorEastAsia"/>
          <w:b/>
          <w:bCs w:val="0"/>
          <w:lang w:val="en-US" w:eastAsia="zh-CN"/>
        </w:rPr>
        <w:t>在维保服务期内，成交人需根据采购方要求提供以下服务</w:t>
      </w:r>
    </w:p>
    <w:p w14:paraId="0601A500">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系统性能检测及调优、系统规划、文档整理汇报服务</w:t>
      </w:r>
      <w:r>
        <w:rPr>
          <w:rFonts w:hint="eastAsia" w:asciiTheme="minorEastAsia" w:hAnsiTheme="minorEastAsia" w:eastAsiaTheme="minorEastAsia" w:cstheme="minorEastAsia"/>
          <w:lang w:eastAsia="zh-CN"/>
        </w:rPr>
        <w:t>；</w:t>
      </w:r>
    </w:p>
    <w:p w14:paraId="6436CA6A">
      <w:pPr>
        <w:keepNext w:val="0"/>
        <w:keepLines w:val="0"/>
        <w:pageBreakBefore w:val="0"/>
        <w:widowControl w:val="0"/>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（2）针对HIS系统运行实际情况，通过合理分析提出系统扩充和升级建议，为医院HIS系统建设提供规划咨询服务。</w:t>
      </w:r>
    </w:p>
    <w:p w14:paraId="5D7EFE0C">
      <w:pPr>
        <w:keepNext w:val="0"/>
        <w:keepLines w:val="0"/>
        <w:pageBreakBefore w:val="0"/>
        <w:widowControl w:val="0"/>
        <w:kinsoku/>
        <w:wordWrap/>
        <w:overflowPunct/>
        <w:topLinePunct w:val="0"/>
        <w:bidi w:val="0"/>
        <w:adjustRightInd w:val="0"/>
        <w:spacing w:line="570" w:lineRule="exact"/>
        <w:ind w:firstLine="482" w:firstLineChars="200"/>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（四）文档管理要求</w:t>
      </w:r>
    </w:p>
    <w:p w14:paraId="316D97D6">
      <w:pPr>
        <w:keepNext w:val="0"/>
        <w:keepLines w:val="0"/>
        <w:pageBreakBefore w:val="0"/>
        <w:widowControl w:val="0"/>
        <w:kinsoku/>
        <w:wordWrap/>
        <w:overflowPunct/>
        <w:topLinePunct w:val="0"/>
        <w:bidi w:val="0"/>
        <w:adjustRightInd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成交人需按照项目阶段，提供项目相关过程文档，具体要求如下：</w:t>
      </w:r>
    </w:p>
    <w:p w14:paraId="5E39B3F0">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left="425" w:leftChars="0" w:firstLine="0"/>
        <w:textAlignment w:val="auto"/>
        <w:rPr>
          <w:rFonts w:hint="eastAsia" w:eastAsia="宋体"/>
          <w:lang w:eastAsia="zh-CN"/>
        </w:rPr>
      </w:pPr>
      <w:r>
        <w:rPr>
          <w:rFonts w:hint="eastAsia" w:asciiTheme="minorEastAsia" w:hAnsiTheme="minorEastAsia" w:eastAsiaTheme="minorEastAsia" w:cstheme="minorEastAsia"/>
          <w:lang w:eastAsia="zh-CN"/>
        </w:rPr>
        <w:t>（1）建立专门档案并做好记录；</w:t>
      </w:r>
    </w:p>
    <w:p w14:paraId="057D6247">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left="425" w:leftChars="0" w:firstLine="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详细记录运行状况评估、故障问题报告等信息；</w:t>
      </w:r>
    </w:p>
    <w:p w14:paraId="36300400">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left="425" w:leftChars="0" w:firstLine="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lang w:val="en-US" w:eastAsia="zh-CN"/>
        </w:rPr>
        <w:t>）提供</w:t>
      </w:r>
      <w:r>
        <w:rPr>
          <w:rFonts w:hint="eastAsia" w:asciiTheme="minorEastAsia" w:hAnsiTheme="minorEastAsia" w:eastAsiaTheme="minorEastAsia" w:cstheme="minorEastAsia"/>
        </w:rPr>
        <w:t>需求确认单。</w:t>
      </w:r>
    </w:p>
    <w:p w14:paraId="6A00F395">
      <w:pPr>
        <w:keepNext w:val="0"/>
        <w:keepLines w:val="0"/>
        <w:pageBreakBefore w:val="0"/>
        <w:kinsoku/>
        <w:wordWrap/>
        <w:overflowPunct/>
        <w:topLinePunct w:val="0"/>
        <w:bidi w:val="0"/>
        <w:spacing w:line="570" w:lineRule="exact"/>
        <w:ind w:firstLine="482" w:firstLineChars="200"/>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lang w:val="en-US" w:eastAsia="zh-CN"/>
        </w:rPr>
        <w:t>五）项目管理要求</w:t>
      </w:r>
    </w:p>
    <w:p w14:paraId="172E5A19">
      <w:pPr>
        <w:keepNext w:val="0"/>
        <w:keepLines w:val="0"/>
        <w:pageBreakBefore w:val="0"/>
        <w:kinsoku/>
        <w:wordWrap/>
        <w:overflowPunct/>
        <w:topLinePunct w:val="0"/>
        <w:bidi w:val="0"/>
        <w:spacing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val="en-US" w:eastAsia="zh-CN"/>
        </w:rPr>
        <w:t>成交人需根据实际维护服务项目情况，定期组织汇报、技术交流及紧急情况工作会议，具体要求如下：</w:t>
      </w:r>
    </w:p>
    <w:p w14:paraId="0FD74D2A">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（1）双方技术人员每季度召开一次会议，对过往问题处理情况进行总结汇报与交流，确定下一步工作方案，以提升和改善服务质量，并根据实际需求持续完善服务方案；</w:t>
      </w:r>
    </w:p>
    <w:p w14:paraId="39093EDC">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（2）及时发现潜在及细小问题，做到防患于未然；同步最新产品介绍与业界动态信息；分享其他用户的经验做法；</w:t>
      </w:r>
    </w:p>
    <w:p w14:paraId="1997D69D">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（3）本年度服务期结束后，需对全年运维工作进行总结，并制定下一年度运维工作计划；</w:t>
      </w:r>
    </w:p>
    <w:p w14:paraId="7AF4858C">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（4）遇任何紧急情况且确有必要时，乙方应协调相关部门负责人及技术人员，根据需求随时召开紧急会议，重点处理紧急问题，确保重大故障得到及时解决。</w:t>
      </w:r>
    </w:p>
    <w:p w14:paraId="42B26FA7">
      <w:pPr>
        <w:keepNext w:val="0"/>
        <w:keepLines w:val="0"/>
        <w:pageBreakBefore w:val="0"/>
        <w:kinsoku/>
        <w:wordWrap/>
        <w:overflowPunct/>
        <w:topLinePunct w:val="0"/>
        <w:autoSpaceDE/>
        <w:autoSpaceDN/>
        <w:bidi w:val="0"/>
        <w:snapToGrid w:val="0"/>
        <w:spacing w:before="0" w:beforeLines="0" w:after="0" w:afterLines="0" w:line="570" w:lineRule="exact"/>
        <w:ind w:firstLine="482" w:firstLineChars="200"/>
        <w:textAlignment w:val="auto"/>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lang w:val="en-US" w:eastAsia="zh-CN"/>
        </w:rPr>
        <w:t>（六）</w:t>
      </w:r>
      <w:r>
        <w:rPr>
          <w:rFonts w:hint="eastAsia" w:asciiTheme="minorEastAsia" w:hAnsiTheme="minorEastAsia" w:eastAsiaTheme="minorEastAsia" w:cstheme="minorEastAsia"/>
          <w:b/>
        </w:rPr>
        <w:t>软件产权说明</w:t>
      </w:r>
    </w:p>
    <w:p w14:paraId="46AF4660">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（1）采购人对供应商的服务成果拥有所有权及完整的知识产权（包括但不限于著作权、专利权、商标权及知识产权申请权等）；</w:t>
      </w:r>
    </w:p>
    <w:p w14:paraId="7186B094">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2）本项目成交供应商须保证为采购人提供的成果、产品及服务中所包含的任何项目的著作权（或版权）等知识产权，为成交供应商合法拥有或经第三方同意合法使用且可被采购人合法使用，不存在侵犯任何第三方知识产权及其他合法权利的情形；因使用未获授权的技术、组件等引发的知识产权纠纷，由成交供应商自行承担责任，采购人不承担由此产生的任何责任；</w:t>
      </w:r>
    </w:p>
    <w:p w14:paraId="2DC84844">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3）本项目研究成果及其技术文档等的所有权归采购人所有，成交供应商有义务将相关全部技术文档等完整资料交付采购人；未经采购人许可，成交供应商不得向第三方提供采购人的相关资料。报价应包含所有需向所有权人支付的专利权、商标权或其他知识产权相关费用；如采购人需办理相关知识产权的申请、登记手续，成交供应商应提供协助，包括但不限于提供相关数据、资料和文件。</w:t>
      </w:r>
    </w:p>
    <w:p w14:paraId="15A37868">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2" w:firstLineChars="200"/>
        <w:textAlignment w:val="auto"/>
        <w:rPr>
          <w:rFonts w:hint="eastAsia" w:asciiTheme="minorEastAsia" w:hAnsiTheme="minorEastAsia" w:eastAsiaTheme="minorEastAsia" w:cstheme="minorEastAsia"/>
          <w:b/>
          <w:sz w:val="24"/>
          <w:szCs w:val="24"/>
          <w:lang w:val="en-US" w:eastAsia="zh-CN" w:bidi="ar-SA"/>
        </w:rPr>
      </w:pPr>
      <w:r>
        <w:rPr>
          <w:rFonts w:hint="eastAsia" w:asciiTheme="minorEastAsia" w:hAnsiTheme="minorEastAsia" w:eastAsiaTheme="minorEastAsia" w:cstheme="minorEastAsia"/>
          <w:b/>
          <w:sz w:val="24"/>
          <w:szCs w:val="24"/>
          <w:lang w:val="en-US" w:eastAsia="zh-CN" w:bidi="ar-SA"/>
        </w:rPr>
        <w:t>（七）保密及成果要求</w:t>
      </w:r>
    </w:p>
    <w:p w14:paraId="019D1735">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rPr>
        <w:t>保密要求</w:t>
      </w:r>
    </w:p>
    <w:p w14:paraId="32FABCC8">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1）成交人须与采购人签署保密协议书，承诺不向外界泄露本项目的全部程序、资料及数据，亦不得将其用于其他用途。成交人应负责约束其所属员工严格遵守保密协议。</w:t>
      </w:r>
    </w:p>
    <w:p w14:paraId="34685D05">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2）在项目实施过程中，成交人对所获取的采购人服务相关各类数据、资料负有保密义务，未经采购人许可，不得向任何第三方泄露。供应商须遵循以下要求（响应时需提供书面承诺函）：</w:t>
      </w:r>
    </w:p>
    <w:p w14:paraId="4D2E016C">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①技术支持人员须严格遵守医院相关政策、法律、法规及制度；</w:t>
      </w:r>
    </w:p>
    <w:p w14:paraId="7F8FDBBB">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②技术支持人员须按照医院规范开展工作，对于接收到的重大服务请求，未经采购人同意不得进行任何处理；</w:t>
      </w:r>
    </w:p>
    <w:p w14:paraId="300DD9FB">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③技术支持人员须保证不向用户规定范围以外的任何方泄露业务及技术相关数据。</w:t>
      </w:r>
    </w:p>
    <w:p w14:paraId="4756A1CA">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成果的归属</w:t>
      </w:r>
    </w:p>
    <w:p w14:paraId="6A3EA079">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1）本项目的所有成果（包括著作权在内的知识产权及全部权益）归采购人所有，成交人不得引用、发表或向第三者提供。</w:t>
      </w:r>
    </w:p>
    <w:p w14:paraId="1604C411">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2）采购人引用成交人的工作成果所完成的新的技术成果，其所有权归采购人所有，采购人依法享有该技术成果的精神权利、经济权利及其他相关权利。</w:t>
      </w:r>
    </w:p>
    <w:p w14:paraId="400C36D2">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无论发生何种情形（包括但不限于合同提前终止或解除），采购人均有权使用成交人的阶段性工作成果；采购人引用该阶段性工作成果所完成的新的技术成果，所有权归采购人所有，采购人依法享有该技术成果的精神权利、经济权利及其他相关权利。</w:t>
      </w:r>
    </w:p>
    <w:p w14:paraId="7BED39BA">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2" w:firstLineChars="200"/>
        <w:textAlignment w:val="auto"/>
        <w:rPr>
          <w:rFonts w:hint="eastAsia" w:asciiTheme="minorEastAsia" w:hAnsiTheme="minorEastAsia" w:eastAsiaTheme="minorEastAsia" w:cstheme="minorEastAsia"/>
          <w:b/>
          <w:sz w:val="24"/>
          <w:szCs w:val="24"/>
          <w:lang w:val="en-US" w:eastAsia="zh-CN" w:bidi="ar-SA"/>
        </w:rPr>
      </w:pPr>
      <w:r>
        <w:rPr>
          <w:rFonts w:hint="eastAsia" w:asciiTheme="minorEastAsia" w:hAnsiTheme="minorEastAsia" w:eastAsiaTheme="minorEastAsia" w:cstheme="minorEastAsia"/>
          <w:b/>
          <w:sz w:val="24"/>
          <w:szCs w:val="24"/>
          <w:lang w:val="en-US" w:eastAsia="zh-CN" w:bidi="ar-SA"/>
        </w:rPr>
        <w:t>（八）系统接口</w:t>
      </w:r>
    </w:p>
    <w:p w14:paraId="02F860B4">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ind w:firstLine="480" w:firstLineChars="200"/>
        <w:textAlignment w:val="auto"/>
        <w:rPr>
          <w:rFonts w:hint="eastAsia" w:eastAsia="宋体"/>
          <w:lang w:eastAsia="zh-CN"/>
        </w:rPr>
      </w:pPr>
      <w:r>
        <w:rPr>
          <w:rFonts w:hint="eastAsia" w:asciiTheme="minorEastAsia" w:hAnsiTheme="minorEastAsia" w:eastAsiaTheme="minorEastAsia" w:cstheme="minorEastAsia"/>
          <w:lang w:eastAsia="zh-CN"/>
        </w:rPr>
        <w:t>在本项目服务期（含维护期）内，凡涉及本项目范围的外部系统接口，无论外部系统数量多少、同一子系统变更次数多少，成交人均须按照采购人指定的接口方式，按时保质完成开发测试工作，相关费用另行商议。如涉及第三方软件，由采购人负责协调第三方，成交人无需支付第三方软件相关费用。</w:t>
      </w:r>
    </w:p>
    <w:p w14:paraId="5D8A75C4">
      <w:pPr>
        <w:pStyle w:val="19"/>
        <w:keepNext w:val="0"/>
        <w:keepLines w:val="0"/>
        <w:pageBreakBefore w:val="0"/>
        <w:numPr>
          <w:ilvl w:val="0"/>
          <w:numId w:val="0"/>
        </w:numPr>
        <w:kinsoku/>
        <w:wordWrap/>
        <w:overflowPunct/>
        <w:topLinePunct w:val="0"/>
        <w:autoSpaceDE/>
        <w:autoSpaceDN/>
        <w:bidi w:val="0"/>
        <w:snapToGrid w:val="0"/>
        <w:spacing w:before="0" w:beforeLines="0" w:after="0" w:afterLines="0" w:line="57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w:t>
      </w:r>
      <w:r>
        <w:rPr>
          <w:rFonts w:hint="eastAsia" w:ascii="黑体" w:hAnsi="黑体" w:eastAsia="黑体" w:cs="黑体"/>
          <w:b w:val="0"/>
          <w:bCs w:val="0"/>
          <w:lang w:val="en-US" w:eastAsia="zh-CN"/>
        </w:rPr>
        <w:t>、需提</w:t>
      </w:r>
      <w:bookmarkStart w:id="0" w:name="_GoBack"/>
      <w:bookmarkEnd w:id="0"/>
      <w:r>
        <w:rPr>
          <w:rFonts w:hint="eastAsia" w:ascii="黑体" w:hAnsi="黑体" w:eastAsia="黑体" w:cs="黑体"/>
          <w:b w:val="0"/>
          <w:bCs w:val="0"/>
          <w:lang w:val="en-US" w:eastAsia="zh-CN"/>
        </w:rPr>
        <w:t>供运维服务考核绩效评价方案，以保障成交人对采购人项目的运维质量。</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905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09E99">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72309E99">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AB4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0D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2113">
    <w:pPr>
      <w:pStyle w:val="11"/>
    </w:pPr>
    <w:r>
      <w:rPr>
        <w:rFonts w:hint="eastAsia"/>
      </w:rPr>
      <w:t>广州市从化区中医医院信息系统维保项目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C16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9B7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70479"/>
    <w:multiLevelType w:val="singleLevel"/>
    <w:tmpl w:val="F8370479"/>
    <w:lvl w:ilvl="0" w:tentative="0">
      <w:start w:val="2"/>
      <w:numFmt w:val="decimal"/>
      <w:suff w:val="space"/>
      <w:lvlText w:val="%1."/>
      <w:lvlJc w:val="left"/>
    </w:lvl>
  </w:abstractNum>
  <w:abstractNum w:abstractNumId="1">
    <w:nsid w:val="00000002"/>
    <w:multiLevelType w:val="multilevel"/>
    <w:tmpl w:val="00000002"/>
    <w:lvl w:ilvl="0" w:tentative="0">
      <w:start w:val="1"/>
      <w:numFmt w:val="decimal"/>
      <w:lvlText w:val="%1."/>
      <w:lvlJc w:val="left"/>
      <w:pPr>
        <w:tabs>
          <w:tab w:val="left" w:pos="-280"/>
        </w:tabs>
        <w:ind w:left="567" w:hanging="425"/>
      </w:pPr>
      <w:rPr>
        <w:rFonts w:hint="default" w:ascii="Times New Roman"/>
      </w:rPr>
    </w:lvl>
    <w:lvl w:ilvl="1" w:tentative="0">
      <w:start w:val="1"/>
      <w:numFmt w:val="lowerLetter"/>
      <w:lvlText w:val="%2)"/>
      <w:lvlJc w:val="left"/>
      <w:pPr>
        <w:tabs>
          <w:tab w:val="left" w:pos="0"/>
        </w:tabs>
        <w:ind w:left="0" w:hanging="420"/>
      </w:pPr>
      <w:rPr>
        <w:rFonts w:hint="default" w:ascii="Times New Roman"/>
      </w:rPr>
    </w:lvl>
    <w:lvl w:ilvl="2" w:tentative="0">
      <w:start w:val="1"/>
      <w:numFmt w:val="lowerRoman"/>
      <w:lvlText w:val="%3."/>
      <w:lvlJc w:val="right"/>
      <w:pPr>
        <w:tabs>
          <w:tab w:val="left" w:pos="420"/>
        </w:tabs>
        <w:ind w:left="420" w:hanging="420"/>
      </w:pPr>
      <w:rPr>
        <w:rFonts w:hint="default" w:ascii="Times New Roman"/>
      </w:rPr>
    </w:lvl>
    <w:lvl w:ilvl="3" w:tentative="0">
      <w:start w:val="1"/>
      <w:numFmt w:val="decimal"/>
      <w:lvlText w:val="%4."/>
      <w:lvlJc w:val="left"/>
      <w:pPr>
        <w:tabs>
          <w:tab w:val="left" w:pos="840"/>
        </w:tabs>
        <w:ind w:left="840" w:hanging="420"/>
      </w:pPr>
      <w:rPr>
        <w:rFonts w:hint="default" w:ascii="Times New Roman"/>
      </w:rPr>
    </w:lvl>
    <w:lvl w:ilvl="4" w:tentative="0">
      <w:start w:val="1"/>
      <w:numFmt w:val="lowerLetter"/>
      <w:lvlText w:val="%5)"/>
      <w:lvlJc w:val="left"/>
      <w:pPr>
        <w:tabs>
          <w:tab w:val="left" w:pos="1260"/>
        </w:tabs>
        <w:ind w:left="1260" w:hanging="420"/>
      </w:pPr>
      <w:rPr>
        <w:rFonts w:hint="default" w:ascii="Times New Roman"/>
      </w:rPr>
    </w:lvl>
    <w:lvl w:ilvl="5" w:tentative="0">
      <w:start w:val="1"/>
      <w:numFmt w:val="lowerRoman"/>
      <w:lvlText w:val="%6."/>
      <w:lvlJc w:val="right"/>
      <w:pPr>
        <w:tabs>
          <w:tab w:val="left" w:pos="1680"/>
        </w:tabs>
        <w:ind w:left="1680" w:hanging="420"/>
      </w:pPr>
      <w:rPr>
        <w:rFonts w:hint="default" w:ascii="Times New Roman"/>
      </w:rPr>
    </w:lvl>
    <w:lvl w:ilvl="6" w:tentative="0">
      <w:start w:val="1"/>
      <w:numFmt w:val="decimal"/>
      <w:lvlText w:val="%7."/>
      <w:lvlJc w:val="left"/>
      <w:pPr>
        <w:tabs>
          <w:tab w:val="left" w:pos="2100"/>
        </w:tabs>
        <w:ind w:left="2100" w:hanging="420"/>
      </w:pPr>
      <w:rPr>
        <w:rFonts w:hint="default" w:ascii="Times New Roman"/>
      </w:rPr>
    </w:lvl>
    <w:lvl w:ilvl="7" w:tentative="0">
      <w:start w:val="1"/>
      <w:numFmt w:val="lowerLetter"/>
      <w:lvlText w:val="%8)"/>
      <w:lvlJc w:val="left"/>
      <w:pPr>
        <w:tabs>
          <w:tab w:val="left" w:pos="2520"/>
        </w:tabs>
        <w:ind w:left="2520" w:hanging="420"/>
      </w:pPr>
      <w:rPr>
        <w:rFonts w:hint="default" w:ascii="Times New Roman"/>
      </w:rPr>
    </w:lvl>
    <w:lvl w:ilvl="8" w:tentative="0">
      <w:start w:val="1"/>
      <w:numFmt w:val="lowerRoman"/>
      <w:lvlText w:val="%9."/>
      <w:lvlJc w:val="right"/>
      <w:pPr>
        <w:tabs>
          <w:tab w:val="left" w:pos="2940"/>
        </w:tabs>
        <w:ind w:left="2940" w:hanging="420"/>
      </w:pPr>
      <w:rPr>
        <w:rFonts w:hint="default" w:asci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3C"/>
    <w:rsid w:val="00047001"/>
    <w:rsid w:val="000752D0"/>
    <w:rsid w:val="000C7E7C"/>
    <w:rsid w:val="001048E1"/>
    <w:rsid w:val="00116C9A"/>
    <w:rsid w:val="001613BF"/>
    <w:rsid w:val="002A4916"/>
    <w:rsid w:val="0033753C"/>
    <w:rsid w:val="003953DD"/>
    <w:rsid w:val="004A479D"/>
    <w:rsid w:val="004E4E30"/>
    <w:rsid w:val="00504911"/>
    <w:rsid w:val="005555DB"/>
    <w:rsid w:val="005F5998"/>
    <w:rsid w:val="00623C26"/>
    <w:rsid w:val="007448F8"/>
    <w:rsid w:val="0074511F"/>
    <w:rsid w:val="007E2AAC"/>
    <w:rsid w:val="00A87D83"/>
    <w:rsid w:val="00AE3A50"/>
    <w:rsid w:val="00B9400C"/>
    <w:rsid w:val="00BF6BF8"/>
    <w:rsid w:val="00EA6D2F"/>
    <w:rsid w:val="00FB6573"/>
    <w:rsid w:val="00FD068D"/>
    <w:rsid w:val="01513237"/>
    <w:rsid w:val="024E06A7"/>
    <w:rsid w:val="02970F79"/>
    <w:rsid w:val="038720C2"/>
    <w:rsid w:val="057B3094"/>
    <w:rsid w:val="05D95F53"/>
    <w:rsid w:val="065A7981"/>
    <w:rsid w:val="081E6D6D"/>
    <w:rsid w:val="09417801"/>
    <w:rsid w:val="0A09410D"/>
    <w:rsid w:val="0A821835"/>
    <w:rsid w:val="0AE13BA0"/>
    <w:rsid w:val="0C807E22"/>
    <w:rsid w:val="104E6213"/>
    <w:rsid w:val="144D0CA4"/>
    <w:rsid w:val="14970CFE"/>
    <w:rsid w:val="14E2566D"/>
    <w:rsid w:val="1680761E"/>
    <w:rsid w:val="19347A3E"/>
    <w:rsid w:val="1BCD555D"/>
    <w:rsid w:val="1C3D2718"/>
    <w:rsid w:val="24657716"/>
    <w:rsid w:val="24945F95"/>
    <w:rsid w:val="25695674"/>
    <w:rsid w:val="262C4E67"/>
    <w:rsid w:val="27AE0CB1"/>
    <w:rsid w:val="27B127BC"/>
    <w:rsid w:val="283B713F"/>
    <w:rsid w:val="28A459E7"/>
    <w:rsid w:val="2AF27EBA"/>
    <w:rsid w:val="2B410A44"/>
    <w:rsid w:val="2D361A7A"/>
    <w:rsid w:val="32C139AC"/>
    <w:rsid w:val="33F2254F"/>
    <w:rsid w:val="33F52B8E"/>
    <w:rsid w:val="34645E90"/>
    <w:rsid w:val="358B5193"/>
    <w:rsid w:val="35D95410"/>
    <w:rsid w:val="37D74BE1"/>
    <w:rsid w:val="3A02478F"/>
    <w:rsid w:val="3BD16454"/>
    <w:rsid w:val="3D042B39"/>
    <w:rsid w:val="3DA3116B"/>
    <w:rsid w:val="3E264666"/>
    <w:rsid w:val="44466309"/>
    <w:rsid w:val="449A6A9F"/>
    <w:rsid w:val="45D61859"/>
    <w:rsid w:val="462913CA"/>
    <w:rsid w:val="49FB311B"/>
    <w:rsid w:val="4C9C5C70"/>
    <w:rsid w:val="4DDE00FE"/>
    <w:rsid w:val="4E551647"/>
    <w:rsid w:val="4E712D20"/>
    <w:rsid w:val="4EA84268"/>
    <w:rsid w:val="4F833B70"/>
    <w:rsid w:val="50250266"/>
    <w:rsid w:val="51AE17D4"/>
    <w:rsid w:val="5224519D"/>
    <w:rsid w:val="52804889"/>
    <w:rsid w:val="53307608"/>
    <w:rsid w:val="55E37A2E"/>
    <w:rsid w:val="58652728"/>
    <w:rsid w:val="58715249"/>
    <w:rsid w:val="592A069B"/>
    <w:rsid w:val="5AAF065E"/>
    <w:rsid w:val="5BF154A0"/>
    <w:rsid w:val="5D886957"/>
    <w:rsid w:val="604C6B17"/>
    <w:rsid w:val="61926657"/>
    <w:rsid w:val="622D1A8B"/>
    <w:rsid w:val="62C56664"/>
    <w:rsid w:val="62FA03DF"/>
    <w:rsid w:val="63AC7EFE"/>
    <w:rsid w:val="66FE7FB1"/>
    <w:rsid w:val="68122083"/>
    <w:rsid w:val="685875DC"/>
    <w:rsid w:val="68E9294A"/>
    <w:rsid w:val="6926423B"/>
    <w:rsid w:val="6B5720D9"/>
    <w:rsid w:val="6BED78AA"/>
    <w:rsid w:val="6C545C48"/>
    <w:rsid w:val="6DA15E84"/>
    <w:rsid w:val="6FA92F87"/>
    <w:rsid w:val="716A58EB"/>
    <w:rsid w:val="71EC3251"/>
    <w:rsid w:val="72A165FF"/>
    <w:rsid w:val="73E805FF"/>
    <w:rsid w:val="74436696"/>
    <w:rsid w:val="75992D1E"/>
    <w:rsid w:val="76433C09"/>
    <w:rsid w:val="76E467F4"/>
    <w:rsid w:val="78D15FE5"/>
    <w:rsid w:val="78F544D3"/>
    <w:rsid w:val="7942728A"/>
    <w:rsid w:val="7AEC18CC"/>
    <w:rsid w:val="7AFE4883"/>
    <w:rsid w:val="7D5408FA"/>
    <w:rsid w:val="7FB20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outlineLvl w:val="0"/>
    </w:p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
    <w:name w:val="Normal Indent"/>
    <w:basedOn w:val="1"/>
    <w:qFormat/>
    <w:uiPriority w:val="0"/>
    <w:pPr>
      <w:widowControl/>
      <w:autoSpaceDE/>
      <w:autoSpaceDN/>
      <w:adjustRightInd/>
      <w:ind w:firstLine="420" w:firstLineChars="200"/>
    </w:pPr>
    <w:rPr>
      <w:rFonts w:ascii="Times New Roman"/>
      <w:sz w:val="20"/>
      <w:szCs w:val="20"/>
    </w:rPr>
  </w:style>
  <w:style w:type="paragraph" w:styleId="5">
    <w:name w:val="Document Map"/>
    <w:basedOn w:val="1"/>
    <w:link w:val="20"/>
    <w:qFormat/>
    <w:uiPriority w:val="0"/>
    <w:rPr>
      <w:sz w:val="18"/>
      <w:szCs w:val="18"/>
    </w:rPr>
  </w:style>
  <w:style w:type="paragraph" w:styleId="6">
    <w:name w:val="annotation text"/>
    <w:basedOn w:val="1"/>
    <w:qFormat/>
    <w:uiPriority w:val="0"/>
  </w:style>
  <w:style w:type="paragraph" w:styleId="7">
    <w:name w:val="Body Text"/>
    <w:basedOn w:val="1"/>
    <w:qFormat/>
    <w:uiPriority w:val="0"/>
    <w:pPr>
      <w:ind w:right="-26"/>
      <w:jc w:val="center"/>
    </w:pPr>
    <w:rPr>
      <w:b/>
      <w:bCs/>
      <w:kern w:val="2"/>
      <w:sz w:val="84"/>
      <w:szCs w:val="84"/>
      <w:lang w:val="zh-CN"/>
    </w:rPr>
  </w:style>
  <w:style w:type="paragraph" w:styleId="8">
    <w:name w:val="Body Text Indent 2"/>
    <w:basedOn w:val="1"/>
    <w:qFormat/>
    <w:uiPriority w:val="0"/>
    <w:pPr>
      <w:spacing w:line="360" w:lineRule="auto"/>
      <w:ind w:left="709"/>
    </w:pPr>
    <w:rPr>
      <w:sz w:val="26"/>
    </w:rPr>
  </w:style>
  <w:style w:type="paragraph" w:styleId="9">
    <w:name w:val="Balloon Text"/>
    <w:basedOn w:val="1"/>
    <w:link w:val="23"/>
    <w:qFormat/>
    <w:uiPriority w:val="0"/>
    <w:rPr>
      <w:sz w:val="18"/>
      <w:szCs w:val="18"/>
    </w:rPr>
  </w:style>
  <w:style w:type="paragraph" w:styleId="10">
    <w:name w:val="footer"/>
    <w:basedOn w:val="1"/>
    <w:link w:val="22"/>
    <w:qFormat/>
    <w:uiPriority w:val="0"/>
    <w:pPr>
      <w:tabs>
        <w:tab w:val="center" w:pos="4153"/>
        <w:tab w:val="right" w:pos="8306"/>
      </w:tabs>
      <w:snapToGrid w:val="0"/>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spacing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p0"/>
    <w:basedOn w:val="1"/>
    <w:qFormat/>
    <w:uiPriority w:val="0"/>
    <w:pPr>
      <w:widowControl/>
      <w:autoSpaceDE/>
      <w:autoSpaceDN/>
      <w:adjustRightInd/>
      <w:spacing w:before="100" w:beforeAutospacing="1" w:after="100" w:afterAutospacing="1"/>
    </w:pPr>
    <w:rPr>
      <w:rFonts w:hAnsi="宋体" w:cs="宋体"/>
    </w:rPr>
  </w:style>
  <w:style w:type="paragraph" w:customStyle="1" w:styleId="18">
    <w:name w:val="正文文本缩进 21"/>
    <w:basedOn w:val="1"/>
    <w:qFormat/>
    <w:uiPriority w:val="0"/>
    <w:pPr>
      <w:widowControl/>
      <w:spacing w:after="240"/>
      <w:ind w:left="1080"/>
    </w:pPr>
    <w:rPr>
      <w:sz w:val="20"/>
      <w:szCs w:val="20"/>
    </w:rPr>
  </w:style>
  <w:style w:type="paragraph" w:styleId="19">
    <w:name w:val="List Paragraph"/>
    <w:basedOn w:val="1"/>
    <w:qFormat/>
    <w:uiPriority w:val="34"/>
    <w:pPr>
      <w:ind w:firstLine="420" w:firstLineChars="200"/>
    </w:pPr>
  </w:style>
  <w:style w:type="character" w:customStyle="1" w:styleId="20">
    <w:name w:val="文档结构图 字符"/>
    <w:basedOn w:val="14"/>
    <w:link w:val="5"/>
    <w:qFormat/>
    <w:uiPriority w:val="0"/>
    <w:rPr>
      <w:rFonts w:ascii="宋体"/>
      <w:sz w:val="18"/>
      <w:szCs w:val="18"/>
    </w:rPr>
  </w:style>
  <w:style w:type="character" w:customStyle="1" w:styleId="21">
    <w:name w:val="页眉 字符"/>
    <w:basedOn w:val="14"/>
    <w:link w:val="11"/>
    <w:qFormat/>
    <w:uiPriority w:val="0"/>
    <w:rPr>
      <w:rFonts w:ascii="宋体"/>
      <w:sz w:val="18"/>
      <w:szCs w:val="18"/>
    </w:rPr>
  </w:style>
  <w:style w:type="character" w:customStyle="1" w:styleId="22">
    <w:name w:val="页脚 字符"/>
    <w:basedOn w:val="14"/>
    <w:link w:val="10"/>
    <w:qFormat/>
    <w:uiPriority w:val="0"/>
    <w:rPr>
      <w:rFonts w:ascii="宋体"/>
      <w:sz w:val="18"/>
      <w:szCs w:val="18"/>
    </w:rPr>
  </w:style>
  <w:style w:type="character" w:customStyle="1" w:styleId="23">
    <w:name w:val="批注框文本 字符"/>
    <w:basedOn w:val="14"/>
    <w:link w:val="9"/>
    <w:qFormat/>
    <w:uiPriority w:val="0"/>
    <w:rPr>
      <w:rFonts w:ascii="宋体"/>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列出段落1"/>
    <w:basedOn w:val="1"/>
    <w:qFormat/>
    <w:uiPriority w:val="34"/>
    <w:pPr>
      <w:ind w:firstLine="420" w:firstLineChars="200"/>
    </w:pPr>
  </w:style>
  <w:style w:type="table" w:customStyle="1" w:styleId="26">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11</Pages>
  <Words>6490</Words>
  <Characters>6606</Characters>
  <Lines>482</Lines>
  <Paragraphs>349</Paragraphs>
  <TotalTime>168</TotalTime>
  <ScaleCrop>false</ScaleCrop>
  <LinksUpToDate>false</LinksUpToDate>
  <CharactersWithSpaces>6613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2026-03-16T02:44:00Z</dcterms:created>
  <dc:creator>Administrator</dc:creator>
  <cp:lastModifiedBy>安</cp:lastModifiedBy>
  <cp:lastPrinted>2026-05-06T08:01:00Z</cp:lastPrinted>
  <dcterms:modified xsi:type="dcterms:W3CDTF">2026-05-08T11:00:55Z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53D86AAB5882478ABAAE0C7B5E1BEB89_13</vt:lpwstr>
  </property>
  <property fmtid="{D5CDD505-2E9C-101B-9397-08002B2CF9AE}" pid="4" name="KSOTemplateDocerSaveRecord">
    <vt:lpwstr>eyJoZGlkIjoiMWI2MmVmZTRkOWMxZmEzMWY5ZWMzZDM5NTQxMTIzYjUiLCJ1c2VySWQiOiIzNTU5NzI5OTYifQ==</vt:lpwstr>
  </property>
</Properties>
</file>