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2"/>
          <w:numId w:val="0"/>
        </w:numPr>
        <w:jc w:val="center"/>
        <w:rPr>
          <w:rFonts w:hint="default"/>
          <w:sz w:val="36"/>
          <w:szCs w:val="36"/>
          <w:lang w:val="en-US" w:eastAsia="zh-CN"/>
        </w:rPr>
      </w:pPr>
      <w:bookmarkStart w:id="0" w:name="_Toc30623"/>
      <w:r>
        <w:rPr>
          <w:rFonts w:hint="eastAsia"/>
          <w:sz w:val="36"/>
          <w:szCs w:val="36"/>
          <w:lang w:val="en-US" w:eastAsia="zh-CN"/>
        </w:rPr>
        <w:t>网络安全托管服务项目需求</w:t>
      </w:r>
    </w:p>
    <w:p>
      <w:pPr>
        <w:pStyle w:val="4"/>
        <w:numPr>
          <w:ilvl w:val="2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一、 </w:t>
      </w:r>
      <w:r>
        <w:rPr>
          <w:rFonts w:hint="eastAsia"/>
        </w:rPr>
        <w:t>设备</w:t>
      </w:r>
      <w:bookmarkEnd w:id="0"/>
      <w:r>
        <w:rPr>
          <w:rFonts w:hint="eastAsia"/>
          <w:lang w:val="en-US" w:eastAsia="zh-CN"/>
        </w:rPr>
        <w:t>情况</w:t>
      </w:r>
    </w:p>
    <w:tbl>
      <w:tblPr>
        <w:tblStyle w:val="8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553"/>
        <w:gridCol w:w="3874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shd w:val="clear" w:color="000000" w:fill="BFBFB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25" w:type="pct"/>
            <w:shd w:val="clear" w:color="000000" w:fill="BFBFB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产品名称</w:t>
            </w:r>
          </w:p>
        </w:tc>
        <w:tc>
          <w:tcPr>
            <w:tcW w:w="2314" w:type="pct"/>
            <w:shd w:val="clear" w:color="000000" w:fill="BFBFB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品牌型号</w:t>
            </w:r>
          </w:p>
        </w:tc>
        <w:tc>
          <w:tcPr>
            <w:tcW w:w="755" w:type="pct"/>
            <w:shd w:val="clear" w:color="000000" w:fill="BFBFB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04" w:type="pct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25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刀片中心</w:t>
            </w:r>
          </w:p>
        </w:tc>
        <w:tc>
          <w:tcPr>
            <w:tcW w:w="231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HP C3000 Platinum</w:t>
            </w:r>
          </w:p>
        </w:tc>
        <w:tc>
          <w:tcPr>
            <w:tcW w:w="755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HP BL460c Gen9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HP BL460c Gen8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HP 388 G9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Dell PowerEdge R730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Dell PowerEdge R430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IBM system X3250 M5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华为2288H V5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联想SR590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联想SR550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Dell PowerEdge R</w:t>
            </w:r>
            <w:r>
              <w:rPr>
                <w:rFonts w:hint="eastAsia"/>
                <w:color w:val="000000"/>
                <w:lang w:val="en-US" w:eastAsia="zh-CN"/>
              </w:rPr>
              <w:t>540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Dell PowerEdge R7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服务器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 xml:space="preserve">HP DL388 gen9 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14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存储设备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HPE SV3200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存储设备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NAS 存储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16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云存储设备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HP StoreVirtual 4730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交换机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H3C S5800-60C-PWR L3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交换机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H3C LS-5500-48P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152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交换机</w:t>
            </w:r>
          </w:p>
        </w:tc>
        <w:tc>
          <w:tcPr>
            <w:tcW w:w="231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安视RS5300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伟思网闸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伟思网闸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天融信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</w:rPr>
              <w:t>NGFW4000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防火墙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网神NSG3000-TE45M-Q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日志审计系统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网神LAS-R32P-PA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堡垒机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网神C6100-BH-TF10M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数据库审计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网神DAS1000-TF10M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防火墙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网神NSG3000-TE25P-Q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4" w:type="pc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52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网络准入</w:t>
            </w:r>
          </w:p>
        </w:tc>
        <w:tc>
          <w:tcPr>
            <w:tcW w:w="23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信锐N</w:t>
            </w:r>
            <w:r>
              <w:rPr>
                <w:rFonts w:cs="宋体"/>
                <w:color w:val="000000"/>
                <w:sz w:val="18"/>
                <w:szCs w:val="18"/>
              </w:rPr>
              <w:t>AC6100</w:t>
            </w:r>
          </w:p>
        </w:tc>
        <w:tc>
          <w:tcPr>
            <w:tcW w:w="7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pStyle w:val="4"/>
        <w:numPr>
          <w:ilvl w:val="2"/>
          <w:numId w:val="0"/>
        </w:numPr>
        <w:rPr>
          <w:rFonts w:hint="eastAsia"/>
        </w:rPr>
      </w:pPr>
      <w:bookmarkStart w:id="1" w:name="_Toc14315"/>
      <w:r>
        <w:rPr>
          <w:rFonts w:hint="eastAsia"/>
          <w:lang w:val="en-US" w:eastAsia="zh-CN"/>
        </w:rPr>
        <w:t>二、 服务</w:t>
      </w:r>
      <w:r>
        <w:rPr>
          <w:rFonts w:hint="eastAsia"/>
        </w:rPr>
        <w:t>需求</w:t>
      </w:r>
      <w:bookmarkEnd w:id="1"/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为保证业务的正常开展，提高核心业务和</w:t>
      </w:r>
      <w:r>
        <w:rPr>
          <w:rFonts w:hint="eastAsia" w:ascii="仿宋" w:hAnsi="仿宋" w:eastAsia="仿宋" w:cs="仿宋"/>
          <w:szCs w:val="24"/>
          <w:lang w:val="en-US" w:eastAsia="zh-CN"/>
        </w:rPr>
        <w:t>医院网络</w:t>
      </w:r>
      <w:r>
        <w:rPr>
          <w:rFonts w:hint="eastAsia" w:ascii="仿宋" w:hAnsi="仿宋" w:eastAsia="仿宋" w:cs="仿宋"/>
          <w:szCs w:val="24"/>
        </w:rPr>
        <w:t>的稳定性，做好机房环境、网络环境和硬件平台的维护工作。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Cs w:val="24"/>
        </w:rPr>
        <w:t>服务期内不限次数，根据要求为广州市从化区中医医院整个IP网络所有路由器、交换机、防火墙、网闸以及互联网路由器</w:t>
      </w:r>
      <w:r>
        <w:rPr>
          <w:rFonts w:hint="eastAsia" w:ascii="仿宋" w:hAnsi="仿宋" w:eastAsia="仿宋" w:cs="仿宋"/>
          <w:szCs w:val="24"/>
          <w:lang w:eastAsia="zh-CN"/>
        </w:rPr>
        <w:t>、</w:t>
      </w:r>
      <w:r>
        <w:rPr>
          <w:rFonts w:hint="eastAsia" w:ascii="仿宋" w:hAnsi="仿宋" w:eastAsia="仿宋" w:cs="仿宋"/>
          <w:szCs w:val="24"/>
          <w:lang w:val="en-US" w:eastAsia="zh-CN"/>
        </w:rPr>
        <w:t>服务器、存储服务器等</w:t>
      </w:r>
      <w:r>
        <w:rPr>
          <w:rFonts w:hint="eastAsia" w:ascii="仿宋" w:hAnsi="仿宋" w:eastAsia="仿宋" w:cs="仿宋"/>
          <w:szCs w:val="24"/>
        </w:rPr>
        <w:t>提供现场及远程技术支持服务，内容包括现场疑难故障诊断以及故障排除、现场技术指导、远程网络调试及故障排除，对新增或调整的网络访问需求做出相应网络策略更改；运维服务人员必须在广州市从化区中医医院发起服务请求后30分钟内响应，3小时内到达指定的现场协助解决问题，涉及核心网络设备的应在2小时内到达指定现场进行处理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Cs w:val="24"/>
        </w:rPr>
        <w:t>服务器漏洞补丁。发现服务器系统漏洞补丁通报给系统管理员，并协助处理，配合及指导医院每年2次的攻防演练、应急演练工作及配合整理演练资料，协助处理漏洞补丁。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Cs w:val="24"/>
        </w:rPr>
        <w:t>服务期内提供标准化配置服务2次，提交各设备网络连接清单。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Cs w:val="24"/>
        </w:rPr>
        <w:t>服务期内按广州市从化区中医医院请求在重要工作或保障时刻，提供4次现场值守服务。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Cs w:val="24"/>
        </w:rPr>
        <w:t>每个季度进行一次对机房设备及环境保养及网络、服务器维护巡检和检查服务,并提交巡检报告（报告内容应包括但不限于以下内容：主要设备的CPU、内存、硬盘使用情况、电源状态、网络设备各端口连接设备变化情况、主要设备软件版本情况以及配置文件情况等），对网络及服务器等设备进行评估、分析并提出建议等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Cs w:val="24"/>
        </w:rPr>
        <w:t>每个季度提供维护服务报告，对报告进行讲解、接受咨询，并根据需要保证至少每半年进行1次技术交流等。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szCs w:val="24"/>
        </w:rPr>
        <w:t>排查网络隐患并绘制详细网络拓补图，对区域网线路进行标准化标识并附详细对照文档。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szCs w:val="24"/>
        </w:rPr>
        <w:t>配合保障业务系统的正常运行，针对广州市从化区中医医院应急情况提供不限次数上门保障。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szCs w:val="24"/>
        </w:rPr>
        <w:t>负责从化区中医医院信息机房设备的日常维护工作，包括巡检、虚拟机资源分配、虚拟机创建、数据迁移等服务。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szCs w:val="24"/>
        </w:rPr>
        <w:t>协助广州市从化区中医医院内部的网络故障排查。</w:t>
      </w:r>
    </w:p>
    <w:p>
      <w:pPr>
        <w:pStyle w:val="5"/>
        <w:spacing w:before="120" w:line="240" w:lineRule="auto"/>
        <w:ind w:firstLine="408" w:firstLineChars="17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11、</w:t>
      </w:r>
      <w:r>
        <w:rPr>
          <w:rFonts w:hint="eastAsia" w:ascii="仿宋" w:hAnsi="仿宋" w:eastAsia="仿宋" w:cs="仿宋"/>
          <w:szCs w:val="24"/>
        </w:rPr>
        <w:t>对信息机房</w:t>
      </w:r>
      <w:r>
        <w:rPr>
          <w:rFonts w:hint="eastAsia" w:ascii="仿宋" w:hAnsi="仿宋" w:eastAsia="仿宋" w:cs="仿宋"/>
          <w:szCs w:val="24"/>
          <w:lang w:val="en-US" w:eastAsia="zh-CN"/>
        </w:rPr>
        <w:t>里的</w:t>
      </w:r>
      <w:r>
        <w:rPr>
          <w:rFonts w:hint="eastAsia" w:ascii="仿宋" w:hAnsi="仿宋" w:eastAsia="仿宋" w:cs="仿宋"/>
          <w:szCs w:val="24"/>
        </w:rPr>
        <w:t>艾默生精密空调</w:t>
      </w:r>
      <w:r>
        <w:rPr>
          <w:rFonts w:hint="eastAsia" w:ascii="仿宋" w:hAnsi="仿宋" w:eastAsia="仿宋" w:cs="仿宋"/>
          <w:szCs w:val="24"/>
          <w:lang w:val="en-US" w:eastAsia="zh-CN"/>
        </w:rPr>
        <w:t>及海尔空调进行</w:t>
      </w:r>
      <w:r>
        <w:rPr>
          <w:rFonts w:hint="eastAsia" w:ascii="仿宋" w:hAnsi="仿宋" w:eastAsia="仿宋" w:cs="仿宋"/>
          <w:szCs w:val="24"/>
        </w:rPr>
        <w:t>一年四季的保养及维保服务。</w:t>
      </w:r>
    </w:p>
    <w:p>
      <w:pPr>
        <w:spacing w:line="240" w:lineRule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12、提供一套开源软件zabbix监控系统，并对医院交换机网络设备在线或故障状态在线监测，提供可视化统一管理界面。</w:t>
      </w:r>
    </w:p>
    <w:p>
      <w:pPr>
        <w:pStyle w:val="2"/>
        <w:spacing w:line="240" w:lineRule="auto"/>
        <w:ind w:left="0" w:leftChars="0" w:firstLine="480" w:firstLineChars="20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13</w:t>
      </w:r>
      <w:bookmarkStart w:id="4" w:name="_GoBack"/>
      <w:bookmarkEnd w:id="4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仿宋" w:hAnsi="仿宋" w:eastAsia="仿宋" w:cs="仿宋"/>
          <w:smallCaps w:val="0"/>
          <w:kern w:val="0"/>
          <w:sz w:val="24"/>
          <w:szCs w:val="24"/>
          <w:lang w:val="en-US" w:eastAsia="zh-CN" w:bidi="ar-SA"/>
        </w:rPr>
        <w:t>服务硬件及维修费用：以项目实际成交价格10%作为服务项目硬件及维修费用，若是服务期间超出该预算费用，超出部分由医院按相应配件的成本支出，若是没有超出该预算费用，视为服务费用。</w:t>
      </w:r>
    </w:p>
    <w:p>
      <w:pPr>
        <w:pStyle w:val="4"/>
        <w:numPr>
          <w:ilvl w:val="2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三、项目绩效考核方案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3" w:type="dxa"/>
            <w:noWrap w:val="0"/>
            <w:vAlign w:val="center"/>
          </w:tcPr>
          <w:p>
            <w:pPr>
              <w:pStyle w:val="4"/>
              <w:numPr>
                <w:ilvl w:val="2"/>
                <w:numId w:val="0"/>
              </w:numPr>
              <w:tabs>
                <w:tab w:val="left" w:pos="0"/>
              </w:tabs>
              <w:spacing w:beforeAutospacing="0" w:afterAutospacing="0" w:line="360" w:lineRule="auto"/>
              <w:ind w:right="14" w:rightChars="0"/>
              <w:rPr>
                <w:rFonts w:ascii="仿宋" w:hAnsi="仿宋" w:eastAsia="仿宋"/>
                <w:sz w:val="21"/>
                <w:szCs w:val="21"/>
                <w:lang w:val="en-US" w:eastAsia="zh-CN"/>
              </w:rPr>
            </w:pPr>
            <w:bookmarkStart w:id="2" w:name="_Toc87459119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.1 绩效评估</w:t>
            </w:r>
            <w:bookmarkEnd w:id="2"/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方法</w:t>
            </w:r>
          </w:p>
          <w:p>
            <w:pPr>
              <w:spacing w:line="240" w:lineRule="auto"/>
              <w:ind w:left="14" w:right="14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由用户单位组织绩效考核，对运维服务提供商的服务响应、事件处理的能力、运维文档的规范性等进行综合评估，考核主要从服务质量、运维服务合规性、能力与可持续性、客户满意度等四部分去评定。</w:t>
            </w:r>
          </w:p>
          <w:p>
            <w:pPr>
              <w:spacing w:line="240" w:lineRule="auto"/>
              <w:ind w:left="14" w:right="14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考核方式为按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季度</w:t>
            </w:r>
            <w:r>
              <w:rPr>
                <w:rFonts w:ascii="仿宋" w:hAnsi="仿宋" w:eastAsia="仿宋"/>
                <w:szCs w:val="21"/>
              </w:rPr>
              <w:t>进行服务质量考核，评出服务绩效考核等级，分值将按照优（100-85分），良（84-71分），中（70-61分），差（60分以下）划定考核等级。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在合同款项中预留出合同金额的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%作为季度考核款项。等级为优，中标服务商获得考核款的100%；等级为良，获得80%；等级为中，获得60%；等级为差，获得40%。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2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/>
                <w:sz w:val="21"/>
                <w:szCs w:val="21"/>
                <w:lang w:val="en-US" w:eastAsia="zh-CN"/>
              </w:rPr>
            </w:pPr>
            <w:bookmarkStart w:id="3" w:name="_Toc87459120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.2 绩效评估内容</w:t>
            </w:r>
            <w:bookmarkEnd w:id="3"/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2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.2.1 运维服务质量考核</w:t>
            </w:r>
          </w:p>
          <w:tbl>
            <w:tblPr>
              <w:tblStyle w:val="8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7"/>
              <w:gridCol w:w="985"/>
              <w:gridCol w:w="2224"/>
              <w:gridCol w:w="3432"/>
              <w:gridCol w:w="8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tblHeader/>
              </w:trPr>
              <w:tc>
                <w:tcPr>
                  <w:tcW w:w="486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一级指标</w:t>
                  </w:r>
                </w:p>
              </w:tc>
              <w:tc>
                <w:tcPr>
                  <w:tcW w:w="593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二级</w:t>
                  </w:r>
                </w:p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三级指标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指标说明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考核得分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</w:trPr>
              <w:tc>
                <w:tcPr>
                  <w:tcW w:w="486" w:type="pct"/>
                  <w:vMerge w:val="restart"/>
                  <w:noWrap/>
                  <w:vAlign w:val="center"/>
                </w:tcPr>
                <w:p>
                  <w:pPr>
                    <w:pStyle w:val="12"/>
                    <w:widowControl/>
                    <w:ind w:left="42" w:leftChars="20" w:right="42" w:rightChars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运维服务质量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(6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0分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593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运维服务的进度完成情况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15分）</w:t>
                  </w:r>
                </w:p>
              </w:tc>
              <w:tc>
                <w:tcPr>
                  <w:tcW w:w="1340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项目实施进度计划完成情况（12分）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运维服务工作进度完成情况（4分）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季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报准时提交（4分）（一次违规扣1分）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季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报准时提交（4分）（一次违规扣3分）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重要工作按时按质完成情况（3分）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用户单位布置的任务，如交办事项落实等。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响应型服务质量</w:t>
                  </w:r>
                </w:p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15分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事件响应情况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5分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运维实施过程中对于事件响应及时情况。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事件处理情况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运维实施过程中对于用户单位或者监理交办事件的处理及完成情况。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2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软件服务响应情况（5分）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3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软件运维服务响应不及时，每出现一次扣1分；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23" w:firstLine="0" w:firstLineChars="0"/>
                    <w:textAlignment w:val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ascii="仿宋" w:hAnsi="仿宋" w:eastAsia="仿宋"/>
                      <w:szCs w:val="21"/>
                    </w:rPr>
                    <w:t>运维单位人员到问题现场后，未提供有效的处理办法或处理问题策略不当，且未在0.5小时内上报</w:t>
                  </w:r>
                  <w:r>
                    <w:rPr>
                      <w:rFonts w:hint="eastAsia" w:ascii="仿宋" w:hAnsi="仿宋" w:eastAsia="仿宋"/>
                      <w:szCs w:val="21"/>
                      <w:lang w:val="en-US" w:eastAsia="zh-CN"/>
                    </w:rPr>
                    <w:t>公司</w:t>
                  </w:r>
                  <w:r>
                    <w:rPr>
                      <w:rFonts w:ascii="仿宋" w:hAnsi="仿宋" w:eastAsia="仿宋"/>
                      <w:szCs w:val="21"/>
                    </w:rPr>
                    <w:t>寻求远程支撑力量，每出现一次扣3分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7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例行型服务质量</w:t>
                  </w:r>
                </w:p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(20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巡检按时按质完成情况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3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含系统巡检，一次违规扣1分。</w:t>
                  </w:r>
                </w:p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3"/>
                    <w:textAlignment w:val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不向用户单位提供巡检表/巡检报告，用户单位提醒后仍拒不改正，一次扣2分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8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运维工作产出物质量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10分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周期性报告质量（5分）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是否简洁清晰、重点突出、分析深入、建议合理。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6" w:hRule="atLeast"/>
              </w:trPr>
              <w:tc>
                <w:tcPr>
                  <w:tcW w:w="486" w:type="pct"/>
                  <w:vMerge w:val="continue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left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93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非周期性产出物质量（5分）</w:t>
                  </w:r>
                </w:p>
              </w:tc>
              <w:tc>
                <w:tcPr>
                  <w:tcW w:w="2068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如事件解决方案等，是否简洁清晰、重点突出、分析深入、建议合理。一个事件单不提交事件报告扣1分。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pStyle w:val="4"/>
              <w:numPr>
                <w:ilvl w:val="2"/>
                <w:numId w:val="0"/>
              </w:numPr>
              <w:tabs>
                <w:tab w:val="left" w:pos="0"/>
              </w:tabs>
              <w:adjustRightInd w:val="0"/>
              <w:spacing w:beforeAutospacing="0" w:afterAutospacing="0" w:line="360" w:lineRule="auto"/>
              <w:rPr>
                <w:rFonts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.2.2 运维服务合规性考核</w:t>
            </w:r>
          </w:p>
          <w:tbl>
            <w:tblPr>
              <w:tblStyle w:val="8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5"/>
              <w:gridCol w:w="1396"/>
              <w:gridCol w:w="2476"/>
              <w:gridCol w:w="2789"/>
              <w:gridCol w:w="8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tblHeader/>
              </w:trPr>
              <w:tc>
                <w:tcPr>
                  <w:tcW w:w="485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一级指标</w:t>
                  </w:r>
                </w:p>
              </w:tc>
              <w:tc>
                <w:tcPr>
                  <w:tcW w:w="84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二级指标</w:t>
                  </w:r>
                </w:p>
              </w:tc>
              <w:tc>
                <w:tcPr>
                  <w:tcW w:w="1492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三级指标</w:t>
                  </w:r>
                </w:p>
              </w:tc>
              <w:tc>
                <w:tcPr>
                  <w:tcW w:w="1680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指标说明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考核得分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85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42" w:leftChars="20" w:right="42" w:rightChars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运维服务合规性（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841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制度完善情况（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1492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积极主动配合执行运维管理规范和绩效管理规范（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168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消极怠工，被用户投诉一次扣0.5分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485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41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事件管理流程合规性（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1492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及时报告用户单位</w:t>
                  </w:r>
                </w:p>
              </w:tc>
              <w:tc>
                <w:tcPr>
                  <w:tcW w:w="1680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发现一次违规行为扣0.5分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pStyle w:val="4"/>
              <w:numPr>
                <w:ilvl w:val="2"/>
                <w:numId w:val="0"/>
              </w:numPr>
              <w:tabs>
                <w:tab w:val="left" w:pos="0"/>
              </w:tabs>
              <w:spacing w:beforeAutospacing="0" w:afterAutospacing="0" w:line="360" w:lineRule="auto"/>
              <w:rPr>
                <w:rFonts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  <w:lang w:val="en-US" w:eastAsia="zh-CN"/>
              </w:rPr>
              <w:t>.2.3 客户满意度考核</w:t>
            </w:r>
          </w:p>
          <w:tbl>
            <w:tblPr>
              <w:tblStyle w:val="8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6"/>
              <w:gridCol w:w="1288"/>
              <w:gridCol w:w="2521"/>
              <w:gridCol w:w="2879"/>
              <w:gridCol w:w="7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0" w:hRule="atLeast"/>
                <w:tblHeader/>
              </w:trPr>
              <w:tc>
                <w:tcPr>
                  <w:tcW w:w="521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一级指标</w:t>
                  </w: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二级指标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三级指标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指标说明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widowControl/>
                    <w:ind w:left="20" w:right="20"/>
                    <w:jc w:val="center"/>
                    <w:rPr>
                      <w:rFonts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Cs w:val="21"/>
                    </w:rPr>
                    <w:t>考核得分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521" w:type="pct"/>
                  <w:vMerge w:val="restar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42" w:leftChars="20" w:right="42" w:rightChars="20"/>
                    <w:textAlignment w:val="auto"/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客户满意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度</w:t>
                  </w:r>
                </w:p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42" w:leftChars="20" w:right="42" w:rightChars="20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0分)</w:t>
                  </w: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事件与问题解决满意度（5分）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事件与问题解决满意度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满分5分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521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工程师技术能力满意度（5分）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工程师技术娴熟能力评估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满分5分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9" w:hRule="atLeast"/>
              </w:trPr>
              <w:tc>
                <w:tcPr>
                  <w:tcW w:w="521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工程师服务态度（5分）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协作性、责任心、积极性等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  <w:lang w:val="en-US" w:eastAsia="zh-CN"/>
                    </w:rPr>
                    <w:t>客户有</w:t>
                  </w: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电话但是拒接，每出现一次扣5分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21" w:hRule="atLeast"/>
              </w:trPr>
              <w:tc>
                <w:tcPr>
                  <w:tcW w:w="521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工程师解决事件后向用户单位陈述说明（5分）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书面/口头陈述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出现用户投诉未陈述说明（每次扣1分）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1" w:hRule="atLeast"/>
              </w:trPr>
              <w:tc>
                <w:tcPr>
                  <w:tcW w:w="521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加分指标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书面嘉奖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每次书面奖励加1分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9" w:hRule="atLeast"/>
              </w:trPr>
              <w:tc>
                <w:tcPr>
                  <w:tcW w:w="521" w:type="pct"/>
                  <w:vMerge w:val="continue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6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扣分指标</w:t>
                  </w:r>
                </w:p>
              </w:tc>
              <w:tc>
                <w:tcPr>
                  <w:tcW w:w="1519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投诉</w:t>
                  </w:r>
                </w:p>
              </w:tc>
              <w:tc>
                <w:tcPr>
                  <w:tcW w:w="1734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left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Cs w:val="21"/>
                    </w:rPr>
                    <w:t>每次书面通报扣1分</w:t>
                  </w:r>
                </w:p>
              </w:tc>
              <w:tc>
                <w:tcPr>
                  <w:tcW w:w="447" w:type="pct"/>
                  <w:noWrap/>
                  <w:vAlign w:val="center"/>
                </w:tcPr>
                <w:p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20" w:right="20"/>
                    <w:jc w:val="center"/>
                    <w:textAlignment w:val="auto"/>
                    <w:rPr>
                      <w:rFonts w:ascii="仿宋" w:hAnsi="仿宋" w:eastAsia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pStyle w:val="11"/>
              <w:tabs>
                <w:tab w:val="left" w:pos="851"/>
              </w:tabs>
              <w:ind w:left="105" w:leftChars="50" w:right="105" w:right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.本合同签订后15个工作日内，采购人办理支付手续，向运维供应商支付合同总额的 30%；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.服务期到达6个月后，10个工作日内，向运维供应商支付合同总额的25%；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3.服务期到达9个月后，10个工作日内，向运维供应商支付合同总额的25%；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服务期满</w:t>
      </w:r>
      <w:r>
        <w:rPr>
          <w:rFonts w:hint="eastAsia"/>
          <w:lang w:eastAsia="zh-CN"/>
        </w:rPr>
        <w:t>前</w:t>
      </w:r>
      <w:r>
        <w:rPr>
          <w:rFonts w:hint="eastAsia"/>
          <w:lang w:val="en-US" w:eastAsia="zh-CN"/>
        </w:rPr>
        <w:t>15个工作日运维供应商提出付款申请</w:t>
      </w:r>
      <w:r>
        <w:rPr>
          <w:rFonts w:hint="eastAsia"/>
        </w:rPr>
        <w:t>，支付</w:t>
      </w:r>
      <w:r>
        <w:rPr>
          <w:rFonts w:hint="eastAsia"/>
          <w:lang w:eastAsia="zh-CN"/>
        </w:rPr>
        <w:t>剩余</w:t>
      </w:r>
      <w:r>
        <w:rPr>
          <w:rFonts w:hint="eastAsia"/>
        </w:rPr>
        <w:t>合同</w:t>
      </w:r>
      <w:r>
        <w:rPr>
          <w:rFonts w:hint="eastAsia"/>
          <w:lang w:eastAsia="zh-CN"/>
        </w:rPr>
        <w:t>款项（</w:t>
      </w:r>
      <w:r>
        <w:rPr>
          <w:rFonts w:hint="eastAsia"/>
        </w:rPr>
        <w:t>合同总额的2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.实际支付额度与服务绩效考核挂钩，项目绩效考核方案详见“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、项目绩效考核方案”。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达到支付条件后，运维服务商须在采购人办理付款手续之前7个工作日内，</w:t>
      </w:r>
      <w:r>
        <w:rPr>
          <w:rFonts w:hint="eastAsia"/>
          <w:lang w:val="en-US" w:eastAsia="zh-CN"/>
        </w:rPr>
        <w:t>提出申请并结合服务绩效考核结果</w:t>
      </w:r>
      <w:r>
        <w:rPr>
          <w:rFonts w:hint="eastAsia"/>
        </w:rPr>
        <w:t>提供等额的正式发票给采购人，以便采购人办理付款手续。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6EA0"/>
    <w:multiLevelType w:val="multilevel"/>
    <w:tmpl w:val="40A06EA0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1002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  <w:color w:val="auto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D7366"/>
    <w:rsid w:val="06560CC7"/>
    <w:rsid w:val="06F1559F"/>
    <w:rsid w:val="0C304C1E"/>
    <w:rsid w:val="0F1630FC"/>
    <w:rsid w:val="0F660DE2"/>
    <w:rsid w:val="12051FF0"/>
    <w:rsid w:val="155D19C3"/>
    <w:rsid w:val="179A11A7"/>
    <w:rsid w:val="19514594"/>
    <w:rsid w:val="1E620B5A"/>
    <w:rsid w:val="1F254D1A"/>
    <w:rsid w:val="201B317E"/>
    <w:rsid w:val="242E36C1"/>
    <w:rsid w:val="24CF650C"/>
    <w:rsid w:val="26E970A8"/>
    <w:rsid w:val="285C6F02"/>
    <w:rsid w:val="2BB9166F"/>
    <w:rsid w:val="2CED786A"/>
    <w:rsid w:val="311832A0"/>
    <w:rsid w:val="34494E3D"/>
    <w:rsid w:val="36260DC9"/>
    <w:rsid w:val="373B322B"/>
    <w:rsid w:val="378909B2"/>
    <w:rsid w:val="3BCC2061"/>
    <w:rsid w:val="40AD4799"/>
    <w:rsid w:val="4B1C305C"/>
    <w:rsid w:val="4C153ADC"/>
    <w:rsid w:val="5133486C"/>
    <w:rsid w:val="52AA0385"/>
    <w:rsid w:val="59BB7412"/>
    <w:rsid w:val="5CBC522B"/>
    <w:rsid w:val="5E2E6EE6"/>
    <w:rsid w:val="5FBD6280"/>
    <w:rsid w:val="5FC27D0C"/>
    <w:rsid w:val="60110F78"/>
    <w:rsid w:val="67F52B1A"/>
    <w:rsid w:val="6B0D0CE7"/>
    <w:rsid w:val="6BD327C3"/>
    <w:rsid w:val="70397F94"/>
    <w:rsid w:val="70AD7366"/>
    <w:rsid w:val="72CB5477"/>
    <w:rsid w:val="74215B5B"/>
    <w:rsid w:val="79D20CE5"/>
    <w:rsid w:val="7E7E1551"/>
    <w:rsid w:val="7F2A21BF"/>
    <w:rsid w:val="7FCD03C9"/>
    <w:rsid w:val="7FEB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80" w:after="80"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numPr>
        <w:ilvl w:val="1"/>
        <w:numId w:val="1"/>
      </w:numPr>
      <w:tabs>
        <w:tab w:val="left" w:pos="720"/>
      </w:tabs>
      <w:adjustRightInd w:val="0"/>
      <w:spacing w:before="240"/>
      <w:ind w:firstLine="0" w:firstLineChars="0"/>
      <w:jc w:val="left"/>
      <w:outlineLvl w:val="1"/>
    </w:pPr>
    <w:rPr>
      <w:b/>
      <w:color w:val="000000"/>
      <w:sz w:val="32"/>
      <w:szCs w:val="28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spacing w:before="240"/>
      <w:ind w:firstLine="0" w:firstLineChars="0"/>
      <w:outlineLvl w:val="2"/>
    </w:pPr>
    <w:rPr>
      <w:rFonts w:hAnsi="微软雅黑"/>
      <w:b/>
      <w:color w:val="000000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after="0"/>
      <w:ind w:left="210"/>
      <w:jc w:val="left"/>
    </w:pPr>
    <w:rPr>
      <w:rFonts w:ascii="Calibri" w:hAnsi="Calibri"/>
      <w:smallCaps/>
      <w:sz w:val="20"/>
      <w:szCs w:val="20"/>
    </w:rPr>
  </w:style>
  <w:style w:type="paragraph" w:styleId="5">
    <w:name w:val="Normal Indent"/>
    <w:basedOn w:val="1"/>
    <w:qFormat/>
    <w:uiPriority w:val="0"/>
    <w:pPr>
      <w:autoSpaceDE w:val="0"/>
      <w:autoSpaceDN w:val="0"/>
      <w:spacing w:before="0" w:after="0"/>
      <w:ind w:left="181" w:firstLine="420" w:firstLineChars="0"/>
    </w:pPr>
    <w:rPr>
      <w:rFonts w:ascii="Times New Roman" w:hAnsi="Times New Roman"/>
      <w:kern w:val="0"/>
      <w:sz w:val="24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2024-11-22T08:30:00Z</dcterms:created>
  <dc:creator>yjz2023</dc:creator>
  <cp:lastModifiedBy>yjz2023</cp:lastModifiedBy>
  <cp:lastPrinted>2024-11-27T08:32:00Z</cp:lastPrinted>
  <dcterms:modified xsi:type="dcterms:W3CDTF">2024-11-28T07:38:05Z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2187BCED80E84A9C82CD4AEC53C50901</vt:lpwstr>
  </property>
</Properties>
</file>