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1120"/>
        <w:spacing w:after="0"/>
        <w:rPr>
          <w:sz w:val="20"/>
          <w:szCs w:val="20"/>
          <w:color w:val="auto"/>
        </w:rPr>
      </w:pPr>
      <w:r>
        <w:rPr>
          <w:rFonts w:ascii="Courier New" w:cs="Courier New" w:eastAsia="Courier New" w:hAnsi="Courier New"/>
          <w:sz w:val="30"/>
          <w:szCs w:val="30"/>
          <w:b w:val="1"/>
          <w:bCs w:val="1"/>
          <w:color w:val="auto"/>
        </w:rPr>
        <w:drawing>
          <wp:anchor simplePos="0" relativeHeight="251657728" behindDoc="1" locked="0" layoutInCell="0" allowOverlap="1">
            <wp:simplePos x="0" y="0"/>
            <wp:positionH relativeFrom="page">
              <wp:posOffset>274320</wp:posOffset>
            </wp:positionH>
            <wp:positionV relativeFrom="page">
              <wp:posOffset>240665</wp:posOffset>
            </wp:positionV>
            <wp:extent cx="1179830" cy="15817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1179830" cy="1581785"/>
                    </a:xfrm>
                    <a:prstGeom prst="rect">
                      <a:avLst/>
                    </a:prstGeom>
                    <a:noFill/>
                  </pic:spPr>
                </pic:pic>
              </a:graphicData>
            </a:graphic>
          </wp:anchor>
        </w:drawing>
        <w:drawing>
          <wp:anchor simplePos="0" relativeHeight="251657728" behindDoc="1" locked="0" layoutInCell="0" allowOverlap="1">
            <wp:simplePos x="0" y="0"/>
            <wp:positionH relativeFrom="page">
              <wp:posOffset>6866890</wp:posOffset>
            </wp:positionH>
            <wp:positionV relativeFrom="page">
              <wp:posOffset>240665</wp:posOffset>
            </wp:positionV>
            <wp:extent cx="914400" cy="2165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914400" cy="216535"/>
                    </a:xfrm>
                    <a:prstGeom prst="rect">
                      <a:avLst/>
                    </a:prstGeom>
                    <a:noFill/>
                  </pic:spPr>
                </pic:pic>
              </a:graphicData>
            </a:graphic>
          </wp:anchor>
        </w:drawing>
        <w:t>Topics in Stroke Rehabilitation</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35" w:lineRule="exact"/>
        <w:rPr>
          <w:sz w:val="24"/>
          <w:szCs w:val="24"/>
          <w:color w:val="auto"/>
        </w:rPr>
      </w:pPr>
    </w:p>
    <w:p>
      <w:pPr>
        <w:ind w:left="1120"/>
        <w:spacing w:after="0"/>
        <w:rPr>
          <w:rFonts w:ascii="Courier New" w:cs="Courier New" w:eastAsia="Courier New" w:hAnsi="Courier New"/>
          <w:sz w:val="16"/>
          <w:szCs w:val="16"/>
          <w:b w:val="1"/>
          <w:bCs w:val="1"/>
          <w:color w:val="auto"/>
        </w:rPr>
      </w:pPr>
      <w:r>
        <w:rPr>
          <w:rFonts w:ascii="Courier New" w:cs="Courier New" w:eastAsia="Courier New" w:hAnsi="Courier New"/>
          <w:sz w:val="16"/>
          <w:szCs w:val="16"/>
          <w:b w:val="1"/>
          <w:bCs w:val="1"/>
          <w:color w:val="auto"/>
        </w:rPr>
        <w:t xml:space="preserve">ISSN: (Print) (Online) Journal homepage: </w:t>
      </w:r>
      <w:hyperlink r:id="rId10">
        <w:r>
          <w:rPr>
            <w:rFonts w:ascii="Courier New" w:cs="Courier New" w:eastAsia="Courier New" w:hAnsi="Courier New"/>
            <w:sz w:val="16"/>
            <w:szCs w:val="16"/>
            <w:b w:val="1"/>
            <w:bCs w:val="1"/>
            <w:u w:val="single" w:color="auto"/>
            <w:color w:val="auto"/>
          </w:rPr>
          <w:t>https://www.tandfonline.com/loi/ytsr20</w:t>
        </w:r>
      </w:hyperlink>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-639445</wp:posOffset>
            </wp:positionH>
            <wp:positionV relativeFrom="paragraph">
              <wp:posOffset>52705</wp:posOffset>
            </wp:positionV>
            <wp:extent cx="1197610" cy="254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extLst>
                    </a:blip>
                    <a:srcRect/>
                    <a:stretch>
                      <a:fillRect/>
                    </a:stretch>
                  </pic:blipFill>
                  <pic:spPr bwMode="auto">
                    <a:xfrm>
                      <a:off x="0" y="0"/>
                      <a:ext cx="1197610" cy="25400"/>
                    </a:xfrm>
                    <a:prstGeom prst="rect">
                      <a:avLst/>
                    </a:prstGeom>
                    <a:noFill/>
                  </pic:spPr>
                </pic:pic>
              </a:graphicData>
            </a:graphic>
          </wp:anchor>
        </w:drawing>
      </w:r>
    </w:p>
    <w:p>
      <w:pPr>
        <w:spacing w:after="0" w:line="200" w:lineRule="exact"/>
        <w:rPr>
          <w:sz w:val="24"/>
          <w:szCs w:val="24"/>
          <w:color w:val="auto"/>
        </w:rPr>
      </w:pPr>
    </w:p>
    <w:p>
      <w:pPr>
        <w:spacing w:after="0" w:line="259" w:lineRule="exact"/>
        <w:rPr>
          <w:sz w:val="24"/>
          <w:szCs w:val="24"/>
          <w:color w:val="auto"/>
        </w:rPr>
      </w:pPr>
    </w:p>
    <w:p>
      <w:pPr>
        <w:ind w:left="500" w:right="1266"/>
        <w:spacing w:after="0" w:line="373" w:lineRule="auto"/>
        <w:rPr>
          <w:sz w:val="20"/>
          <w:szCs w:val="20"/>
          <w:color w:val="auto"/>
        </w:rPr>
      </w:pPr>
      <w:r>
        <w:rPr>
          <w:rFonts w:ascii="Courier New" w:cs="Courier New" w:eastAsia="Courier New" w:hAnsi="Courier New"/>
          <w:sz w:val="31"/>
          <w:szCs w:val="31"/>
          <w:b w:val="1"/>
          <w:bCs w:val="1"/>
          <w:color w:val="auto"/>
        </w:rPr>
        <w:t>Longitudinal changes of motor cortex function during motor recovery after stroke</w:t>
      </w:r>
    </w:p>
    <w:p>
      <w:pPr>
        <w:spacing w:after="0" w:line="303" w:lineRule="exact"/>
        <w:rPr>
          <w:sz w:val="24"/>
          <w:szCs w:val="24"/>
          <w:color w:val="auto"/>
        </w:rPr>
      </w:pPr>
    </w:p>
    <w:p>
      <w:pPr>
        <w:ind w:left="500"/>
        <w:spacing w:after="0"/>
        <w:rPr>
          <w:sz w:val="20"/>
          <w:szCs w:val="20"/>
          <w:color w:val="auto"/>
        </w:rPr>
      </w:pPr>
      <w:r>
        <w:rPr>
          <w:rFonts w:ascii="Courier New" w:cs="Courier New" w:eastAsia="Courier New" w:hAnsi="Courier New"/>
          <w:sz w:val="24"/>
          <w:szCs w:val="24"/>
          <w:b w:val="1"/>
          <w:bCs w:val="1"/>
          <w:color w:val="auto"/>
        </w:rPr>
        <w:t>Li Chunyong, Li Yingkai, Liu Fuda, Che Jiang &amp; Yan Liu</w:t>
      </w:r>
    </w:p>
    <w:p>
      <w:pPr>
        <w:spacing w:after="0" w:line="200" w:lineRule="exact"/>
        <w:rPr>
          <w:sz w:val="24"/>
          <w:szCs w:val="24"/>
          <w:color w:val="auto"/>
        </w:rPr>
      </w:pPr>
    </w:p>
    <w:p>
      <w:pPr>
        <w:spacing w:after="0" w:line="269" w:lineRule="exact"/>
        <w:rPr>
          <w:sz w:val="24"/>
          <w:szCs w:val="24"/>
          <w:color w:val="auto"/>
        </w:rPr>
      </w:pPr>
    </w:p>
    <w:p>
      <w:pPr>
        <w:ind w:left="500" w:right="766"/>
        <w:spacing w:after="0" w:line="358" w:lineRule="auto"/>
        <w:rPr>
          <w:rFonts w:ascii="Courier New" w:cs="Courier New" w:eastAsia="Courier New" w:hAnsi="Courier New"/>
          <w:sz w:val="17"/>
          <w:szCs w:val="17"/>
          <w:color w:val="auto"/>
        </w:rPr>
      </w:pPr>
      <w:r>
        <w:rPr>
          <w:rFonts w:ascii="Courier New" w:cs="Courier New" w:eastAsia="Courier New" w:hAnsi="Courier New"/>
          <w:sz w:val="17"/>
          <w:szCs w:val="17"/>
          <w:b w:val="1"/>
          <w:bCs w:val="1"/>
          <w:color w:val="auto"/>
        </w:rPr>
        <w:t xml:space="preserve">To cite this article: </w:t>
      </w:r>
      <w:r>
        <w:rPr>
          <w:rFonts w:ascii="Courier New" w:cs="Courier New" w:eastAsia="Courier New" w:hAnsi="Courier New"/>
          <w:sz w:val="17"/>
          <w:szCs w:val="17"/>
          <w:color w:val="auto"/>
        </w:rPr>
        <w:t>Li Chunyong, Li Yingkai, Liu Fuda, Che Jiang &amp; Yan Liu (2022): Longitudinal</w:t>
      </w:r>
      <w:r>
        <w:rPr>
          <w:rFonts w:ascii="Courier New" w:cs="Courier New" w:eastAsia="Courier New" w:hAnsi="Courier New"/>
          <w:sz w:val="17"/>
          <w:szCs w:val="17"/>
          <w:b w:val="1"/>
          <w:bCs w:val="1"/>
          <w:color w:val="auto"/>
        </w:rPr>
        <w:t xml:space="preserve"> </w:t>
      </w:r>
      <w:r>
        <w:rPr>
          <w:rFonts w:ascii="Courier New" w:cs="Courier New" w:eastAsia="Courier New" w:hAnsi="Courier New"/>
          <w:sz w:val="17"/>
          <w:szCs w:val="17"/>
          <w:color w:val="auto"/>
        </w:rPr>
        <w:t xml:space="preserve">changes of motor cortex function during motor recovery after stroke, Topics in Stroke Rehabilitation, DOI: </w:t>
      </w:r>
      <w:hyperlink r:id="rId12">
        <w:r>
          <w:rPr>
            <w:rFonts w:ascii="Courier New" w:cs="Courier New" w:eastAsia="Courier New" w:hAnsi="Courier New"/>
            <w:sz w:val="17"/>
            <w:szCs w:val="17"/>
            <w:u w:val="single" w:color="auto"/>
            <w:color w:val="auto"/>
          </w:rPr>
          <w:t>10.1080/10749357.2022.2051829</w:t>
        </w:r>
      </w:hyperlink>
    </w:p>
    <w:p>
      <w:pPr>
        <w:spacing w:after="0" w:line="37" w:lineRule="exact"/>
        <w:rPr>
          <w:sz w:val="24"/>
          <w:szCs w:val="24"/>
          <w:color w:val="auto"/>
        </w:rPr>
      </w:pPr>
    </w:p>
    <w:p>
      <w:pPr>
        <w:ind w:left="500"/>
        <w:spacing w:after="0"/>
        <w:rPr>
          <w:rFonts w:ascii="Courier New" w:cs="Courier New" w:eastAsia="Courier New" w:hAnsi="Courier New"/>
          <w:sz w:val="20"/>
          <w:szCs w:val="20"/>
          <w:b w:val="1"/>
          <w:bCs w:val="1"/>
          <w:color w:val="auto"/>
        </w:rPr>
      </w:pPr>
      <w:r>
        <w:rPr>
          <w:rFonts w:ascii="Courier New" w:cs="Courier New" w:eastAsia="Courier New" w:hAnsi="Courier New"/>
          <w:sz w:val="20"/>
          <w:szCs w:val="20"/>
          <w:b w:val="1"/>
          <w:bCs w:val="1"/>
          <w:color w:val="auto"/>
        </w:rPr>
        <w:t xml:space="preserve">To link to this article: </w:t>
      </w:r>
      <w:hyperlink r:id="rId13">
        <w:r>
          <w:rPr>
            <w:rFonts w:ascii="Courier New" w:cs="Courier New" w:eastAsia="Courier New" w:hAnsi="Courier New"/>
            <w:sz w:val="20"/>
            <w:szCs w:val="20"/>
            <w:u w:val="single" w:color="auto"/>
            <w:color w:val="auto"/>
          </w:rPr>
          <w:t>https://doi.org/10.1080/10749357.2022.2051829</w:t>
        </w:r>
      </w:hyperlink>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439420</wp:posOffset>
            </wp:positionH>
            <wp:positionV relativeFrom="paragraph">
              <wp:posOffset>525145</wp:posOffset>
            </wp:positionV>
            <wp:extent cx="210185" cy="2247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extLst>
                    </a:blip>
                    <a:srcRect/>
                    <a:stretch>
                      <a:fillRect/>
                    </a:stretch>
                  </pic:blipFill>
                  <pic:spPr bwMode="auto">
                    <a:xfrm>
                      <a:off x="0" y="0"/>
                      <a:ext cx="210185" cy="22479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5" w:lineRule="exact"/>
        <w:rPr>
          <w:sz w:val="24"/>
          <w:szCs w:val="24"/>
          <w:color w:val="auto"/>
        </w:rPr>
      </w:pPr>
    </w:p>
    <w:p>
      <w:pPr>
        <w:ind w:left="1200"/>
        <w:spacing w:after="0"/>
        <w:rPr>
          <w:sz w:val="20"/>
          <w:szCs w:val="20"/>
          <w:color w:val="auto"/>
        </w:rPr>
      </w:pPr>
      <w:r>
        <w:rPr>
          <w:rFonts w:ascii="Courier New" w:cs="Courier New" w:eastAsia="Courier New" w:hAnsi="Courier New"/>
          <w:sz w:val="18"/>
          <w:szCs w:val="18"/>
          <w:color w:val="auto"/>
        </w:rPr>
        <w:t>Published online: 20 Mar 2022.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363220</wp:posOffset>
            </wp:positionH>
            <wp:positionV relativeFrom="paragraph">
              <wp:posOffset>278130</wp:posOffset>
            </wp:positionV>
            <wp:extent cx="2712720" cy="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extLst>
                    </a:blip>
                    <a:srcRect/>
                    <a:stretch>
                      <a:fillRect/>
                    </a:stretch>
                  </pic:blipFill>
                  <pic:spPr bwMode="auto">
                    <a:xfrm>
                      <a:off x="0" y="0"/>
                      <a:ext cx="2712720" cy="11430"/>
                    </a:xfrm>
                    <a:prstGeom prst="rect">
                      <a:avLst/>
                    </a:prstGeom>
                    <a:noFill/>
                  </pic:spPr>
                </pic:pic>
              </a:graphicData>
            </a:graphic>
          </wp:anchor>
        </w:drawing>
        <w:drawing>
          <wp:anchor simplePos="0" relativeHeight="251657728" behindDoc="1" locked="0" layoutInCell="0" allowOverlap="1">
            <wp:simplePos x="0" y="0"/>
            <wp:positionH relativeFrom="column">
              <wp:posOffset>439420</wp:posOffset>
            </wp:positionH>
            <wp:positionV relativeFrom="paragraph">
              <wp:posOffset>378460</wp:posOffset>
            </wp:positionV>
            <wp:extent cx="223520" cy="1746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extLst>
                    </a:blip>
                    <a:srcRect/>
                    <a:stretch>
                      <a:fillRect/>
                    </a:stretch>
                  </pic:blipFill>
                  <pic:spPr bwMode="auto">
                    <a:xfrm>
                      <a:off x="0" y="0"/>
                      <a:ext cx="223520" cy="17462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73" w:lineRule="exact"/>
        <w:rPr>
          <w:sz w:val="24"/>
          <w:szCs w:val="24"/>
          <w:color w:val="auto"/>
        </w:rPr>
      </w:pPr>
    </w:p>
    <w:p>
      <w:pPr>
        <w:ind w:left="1200"/>
        <w:spacing w:after="0"/>
        <w:rPr>
          <w:rFonts w:ascii="Courier New" w:cs="Courier New" w:eastAsia="Courier New" w:hAnsi="Courier New"/>
          <w:sz w:val="18"/>
          <w:szCs w:val="18"/>
          <w:color w:val="auto"/>
        </w:rPr>
      </w:pPr>
      <w:hyperlink r:id="rId17">
        <w:r>
          <w:rPr>
            <w:rFonts w:ascii="Courier New" w:cs="Courier New" w:eastAsia="Courier New" w:hAnsi="Courier New"/>
            <w:sz w:val="18"/>
            <w:szCs w:val="18"/>
            <w:color w:val="auto"/>
          </w:rPr>
          <w:t xml:space="preserve">Submit your article to this journal </w:t>
        </w:r>
      </w:hyperlink>
      <w:r>
        <w:rPr>
          <w:rFonts w:ascii="Courier New" w:cs="Courier New" w:eastAsia="Courier New" w:hAnsi="Courier New"/>
          <w:sz w:val="1"/>
          <w:szCs w:val="1"/>
          <w:color w:val="auto"/>
        </w:rPr>
        <w:drawing>
          <wp:inline distT="0" distB="0" distL="0" distR="0">
            <wp:extent cx="165100" cy="111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extLst>
                    </a:blip>
                    <a:srcRect/>
                    <a:stretch>
                      <a:fillRect/>
                    </a:stretch>
                  </pic:blipFill>
                  <pic:spPr bwMode="auto">
                    <a:xfrm>
                      <a:off x="0" y="0"/>
                      <a:ext cx="165100" cy="111760"/>
                    </a:xfrm>
                    <a:prstGeom prst="rect">
                      <a:avLst/>
                    </a:prstGeom>
                    <a:noFill/>
                    <a:ln>
                      <a:noFill/>
                    </a:ln>
                  </pic:spPr>
                </pic:pic>
              </a:graphicData>
            </a:graphic>
          </wp:inline>
        </w:drawing>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363220</wp:posOffset>
            </wp:positionH>
            <wp:positionV relativeFrom="paragraph">
              <wp:posOffset>236855</wp:posOffset>
            </wp:positionV>
            <wp:extent cx="2712720" cy="114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extLst>
                    </a:blip>
                    <a:srcRect/>
                    <a:stretch>
                      <a:fillRect/>
                    </a:stretch>
                  </pic:blipFill>
                  <pic:spPr bwMode="auto">
                    <a:xfrm>
                      <a:off x="0" y="0"/>
                      <a:ext cx="2712720" cy="11430"/>
                    </a:xfrm>
                    <a:prstGeom prst="rect">
                      <a:avLst/>
                    </a:prstGeom>
                    <a:noFill/>
                  </pic:spPr>
                </pic:pic>
              </a:graphicData>
            </a:graphic>
          </wp:anchor>
        </w:drawing>
        <w:drawing>
          <wp:anchor simplePos="0" relativeHeight="251657728" behindDoc="1" locked="0" layoutInCell="0" allowOverlap="1">
            <wp:simplePos x="0" y="0"/>
            <wp:positionH relativeFrom="column">
              <wp:posOffset>439420</wp:posOffset>
            </wp:positionH>
            <wp:positionV relativeFrom="paragraph">
              <wp:posOffset>337185</wp:posOffset>
            </wp:positionV>
            <wp:extent cx="255905" cy="1911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extLst>
                    </a:blip>
                    <a:srcRect/>
                    <a:stretch>
                      <a:fillRect/>
                    </a:stretch>
                  </pic:blipFill>
                  <pic:spPr bwMode="auto">
                    <a:xfrm>
                      <a:off x="0" y="0"/>
                      <a:ext cx="255905" cy="191135"/>
                    </a:xfrm>
                    <a:prstGeom prst="rect">
                      <a:avLst/>
                    </a:prstGeom>
                    <a:noFill/>
                  </pic:spPr>
                </pic:pic>
              </a:graphicData>
            </a:graphic>
          </wp:anchor>
        </w:drawing>
      </w:r>
    </w:p>
    <w:p>
      <w:pPr>
        <w:spacing w:after="0" w:line="200" w:lineRule="exact"/>
        <w:rPr>
          <w:sz w:val="24"/>
          <w:szCs w:val="24"/>
          <w:color w:val="auto"/>
        </w:rPr>
      </w:pPr>
    </w:p>
    <w:p>
      <w:pPr>
        <w:spacing w:after="0" w:line="369" w:lineRule="exact"/>
        <w:rPr>
          <w:sz w:val="24"/>
          <w:szCs w:val="24"/>
          <w:color w:val="auto"/>
        </w:rPr>
      </w:pPr>
    </w:p>
    <w:p>
      <w:pPr>
        <w:ind w:left="1200"/>
        <w:spacing w:after="0"/>
        <w:rPr>
          <w:sz w:val="20"/>
          <w:szCs w:val="20"/>
          <w:color w:val="auto"/>
        </w:rPr>
      </w:pPr>
      <w:r>
        <w:rPr>
          <w:rFonts w:ascii="Courier New" w:cs="Courier New" w:eastAsia="Courier New" w:hAnsi="Courier New"/>
          <w:sz w:val="18"/>
          <w:szCs w:val="18"/>
          <w:color w:val="auto"/>
        </w:rPr>
        <w:t>Article views: 79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363220</wp:posOffset>
            </wp:positionH>
            <wp:positionV relativeFrom="paragraph">
              <wp:posOffset>278130</wp:posOffset>
            </wp:positionV>
            <wp:extent cx="2712720" cy="1143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extLst>
                    </a:blip>
                    <a:srcRect/>
                    <a:stretch>
                      <a:fillRect/>
                    </a:stretch>
                  </pic:blipFill>
                  <pic:spPr bwMode="auto">
                    <a:xfrm>
                      <a:off x="0" y="0"/>
                      <a:ext cx="2712720" cy="11430"/>
                    </a:xfrm>
                    <a:prstGeom prst="rect">
                      <a:avLst/>
                    </a:prstGeom>
                    <a:noFill/>
                  </pic:spPr>
                </pic:pic>
              </a:graphicData>
            </a:graphic>
          </wp:anchor>
        </w:drawing>
        <w:drawing>
          <wp:anchor simplePos="0" relativeHeight="251657728" behindDoc="1" locked="0" layoutInCell="0" allowOverlap="1">
            <wp:simplePos x="0" y="0"/>
            <wp:positionH relativeFrom="column">
              <wp:posOffset>439420</wp:posOffset>
            </wp:positionH>
            <wp:positionV relativeFrom="paragraph">
              <wp:posOffset>378460</wp:posOffset>
            </wp:positionV>
            <wp:extent cx="200025" cy="2317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extLst>
                    </a:blip>
                    <a:srcRect/>
                    <a:stretch>
                      <a:fillRect/>
                    </a:stretch>
                  </pic:blipFill>
                  <pic:spPr bwMode="auto">
                    <a:xfrm>
                      <a:off x="0" y="0"/>
                      <a:ext cx="200025" cy="23177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73" w:lineRule="exact"/>
        <w:rPr>
          <w:sz w:val="24"/>
          <w:szCs w:val="24"/>
          <w:color w:val="auto"/>
        </w:rPr>
      </w:pPr>
    </w:p>
    <w:p>
      <w:pPr>
        <w:ind w:left="1200"/>
        <w:spacing w:after="0"/>
        <w:rPr>
          <w:rFonts w:ascii="Courier New" w:cs="Courier New" w:eastAsia="Courier New" w:hAnsi="Courier New"/>
          <w:sz w:val="18"/>
          <w:szCs w:val="18"/>
          <w:color w:val="auto"/>
        </w:rPr>
      </w:pPr>
      <w:hyperlink r:id="rId23">
        <w:r>
          <w:rPr>
            <w:rFonts w:ascii="Courier New" w:cs="Courier New" w:eastAsia="Courier New" w:hAnsi="Courier New"/>
            <w:sz w:val="18"/>
            <w:szCs w:val="18"/>
            <w:color w:val="auto"/>
          </w:rPr>
          <w:t xml:space="preserve">View related articles </w:t>
        </w:r>
      </w:hyperlink>
      <w:r>
        <w:rPr>
          <w:rFonts w:ascii="Courier New" w:cs="Courier New" w:eastAsia="Courier New" w:hAnsi="Courier New"/>
          <w:sz w:val="1"/>
          <w:szCs w:val="1"/>
          <w:color w:val="auto"/>
        </w:rPr>
        <w:drawing>
          <wp:inline distT="0" distB="0" distL="0" distR="0">
            <wp:extent cx="165100" cy="111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extLst>
                    </a:blip>
                    <a:srcRect/>
                    <a:stretch>
                      <a:fillRect/>
                    </a:stretch>
                  </pic:blipFill>
                  <pic:spPr bwMode="auto">
                    <a:xfrm>
                      <a:off x="0" y="0"/>
                      <a:ext cx="165100" cy="111760"/>
                    </a:xfrm>
                    <a:prstGeom prst="rect">
                      <a:avLst/>
                    </a:prstGeom>
                    <a:noFill/>
                    <a:ln>
                      <a:noFill/>
                    </a:ln>
                  </pic:spPr>
                </pic:pic>
              </a:graphicData>
            </a:graphic>
          </wp:inline>
        </w:drawing>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363220</wp:posOffset>
            </wp:positionH>
            <wp:positionV relativeFrom="paragraph">
              <wp:posOffset>236855</wp:posOffset>
            </wp:positionV>
            <wp:extent cx="2712720" cy="1143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extLst>
                    </a:blip>
                    <a:srcRect/>
                    <a:stretch>
                      <a:fillRect/>
                    </a:stretch>
                  </pic:blipFill>
                  <pic:spPr bwMode="auto">
                    <a:xfrm>
                      <a:off x="0" y="0"/>
                      <a:ext cx="2712720" cy="11430"/>
                    </a:xfrm>
                    <a:prstGeom prst="rect">
                      <a:avLst/>
                    </a:prstGeom>
                    <a:noFill/>
                  </pic:spPr>
                </pic:pic>
              </a:graphicData>
            </a:graphic>
          </wp:anchor>
        </w:drawing>
        <w:drawing>
          <wp:anchor simplePos="0" relativeHeight="251657728" behindDoc="1" locked="0" layoutInCell="0" allowOverlap="1">
            <wp:simplePos x="0" y="0"/>
            <wp:positionH relativeFrom="column">
              <wp:posOffset>439420</wp:posOffset>
            </wp:positionH>
            <wp:positionV relativeFrom="paragraph">
              <wp:posOffset>337185</wp:posOffset>
            </wp:positionV>
            <wp:extent cx="235585" cy="26479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extLst>
                    </a:blip>
                    <a:srcRect/>
                    <a:stretch>
                      <a:fillRect/>
                    </a:stretch>
                  </pic:blipFill>
                  <pic:spPr bwMode="auto">
                    <a:xfrm>
                      <a:off x="0" y="0"/>
                      <a:ext cx="235585" cy="26479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8" w:lineRule="exact"/>
        <w:rPr>
          <w:sz w:val="24"/>
          <w:szCs w:val="24"/>
          <w:color w:val="auto"/>
        </w:rPr>
      </w:pPr>
    </w:p>
    <w:p>
      <w:pPr>
        <w:ind w:left="1200"/>
        <w:spacing w:after="0"/>
        <w:rPr>
          <w:rFonts w:ascii="Courier New" w:cs="Courier New" w:eastAsia="Courier New" w:hAnsi="Courier New"/>
          <w:sz w:val="18"/>
          <w:szCs w:val="18"/>
          <w:color w:val="auto"/>
        </w:rPr>
      </w:pPr>
      <w:hyperlink r:id="rId27">
        <w:r>
          <w:rPr>
            <w:rFonts w:ascii="Courier New" w:cs="Courier New" w:eastAsia="Courier New" w:hAnsi="Courier New"/>
            <w:sz w:val="18"/>
            <w:szCs w:val="18"/>
            <w:color w:val="auto"/>
          </w:rPr>
          <w:t>View Crossmark data</w:t>
        </w:r>
      </w:hyperlink>
      <w:r>
        <w:rPr>
          <w:rFonts w:ascii="Courier New" w:cs="Courier New" w:eastAsia="Courier New" w:hAnsi="Courier New"/>
          <w:sz w:val="1"/>
          <w:szCs w:val="1"/>
          <w:color w:val="auto"/>
        </w:rPr>
        <w:drawing>
          <wp:inline distT="0" distB="0" distL="0" distR="0">
            <wp:extent cx="165100" cy="1117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extLst>
                    </a:blip>
                    <a:srcRect/>
                    <a:stretch>
                      <a:fillRect/>
                    </a:stretch>
                  </pic:blipFill>
                  <pic:spPr bwMode="auto">
                    <a:xfrm>
                      <a:off x="0" y="0"/>
                      <a:ext cx="165100" cy="111760"/>
                    </a:xfrm>
                    <a:prstGeom prst="rect">
                      <a:avLst/>
                    </a:prstGeom>
                    <a:noFill/>
                    <a:ln>
                      <a:noFill/>
                    </a:ln>
                  </pic:spPr>
                </pic:pic>
              </a:graphicData>
            </a:graphic>
          </wp:inline>
        </w:drawing>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363220</wp:posOffset>
            </wp:positionH>
            <wp:positionV relativeFrom="paragraph">
              <wp:posOffset>236855</wp:posOffset>
            </wp:positionV>
            <wp:extent cx="2712720" cy="1143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extLst>
                    </a:blip>
                    <a:srcRect/>
                    <a:stretch>
                      <a:fillRect/>
                    </a:stretch>
                  </pic:blipFill>
                  <pic:spPr bwMode="auto">
                    <a:xfrm>
                      <a:off x="0" y="0"/>
                      <a:ext cx="2712720" cy="11430"/>
                    </a:xfrm>
                    <a:prstGeom prst="rect">
                      <a:avLst/>
                    </a:prstGeom>
                    <a:noFill/>
                  </pic:spPr>
                </pic:pic>
              </a:graphicData>
            </a:graphic>
          </wp:anchor>
        </w:drawing>
      </w:r>
    </w:p>
    <w:p>
      <w:pPr>
        <w:sectPr>
          <w:pgSz w:w="12680" w:h="16661" w:orient="portrait"/>
          <w:cols w:equalWidth="0" w:num="1">
            <w:col w:w="9806"/>
          </w:cols>
          <w:pgMar w:left="1440" w:top="811" w:right="1440" w:bottom="367"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57" w:lineRule="exact"/>
        <w:rPr>
          <w:sz w:val="24"/>
          <w:szCs w:val="24"/>
          <w:color w:val="auto"/>
        </w:rPr>
      </w:pPr>
    </w:p>
    <w:p>
      <w:pPr>
        <w:jc w:val="center"/>
        <w:ind w:right="-13"/>
        <w:spacing w:after="0"/>
        <w:rPr>
          <w:sz w:val="20"/>
          <w:szCs w:val="20"/>
          <w:color w:val="auto"/>
        </w:rPr>
      </w:pPr>
      <w:r>
        <w:rPr>
          <w:rFonts w:ascii="Courier New" w:cs="Courier New" w:eastAsia="Courier New" w:hAnsi="Courier New"/>
          <w:sz w:val="18"/>
          <w:szCs w:val="18"/>
          <w:color w:val="auto"/>
        </w:rPr>
        <w:t>Full Terms &amp; Conditions of access and use can be found at</w:t>
      </w:r>
    </w:p>
    <w:p>
      <w:pPr>
        <w:spacing w:after="0" w:line="16" w:lineRule="exact"/>
        <w:rPr>
          <w:sz w:val="24"/>
          <w:szCs w:val="24"/>
          <w:color w:val="auto"/>
        </w:rPr>
      </w:pPr>
    </w:p>
    <w:p>
      <w:pPr>
        <w:jc w:val="center"/>
        <w:ind w:right="-13"/>
        <w:spacing w:after="0"/>
        <w:rPr>
          <w:rFonts w:ascii="Courier New" w:cs="Courier New" w:eastAsia="Courier New" w:hAnsi="Courier New"/>
          <w:sz w:val="14"/>
          <w:szCs w:val="14"/>
          <w:color w:val="auto"/>
        </w:rPr>
      </w:pPr>
      <w:hyperlink r:id="rId30">
        <w:r>
          <w:rPr>
            <w:rFonts w:ascii="Courier New" w:cs="Courier New" w:eastAsia="Courier New" w:hAnsi="Courier New"/>
            <w:sz w:val="14"/>
            <w:szCs w:val="14"/>
            <w:color w:val="auto"/>
          </w:rPr>
          <w:t>https://www.tandfonline.com/action/journalInformation?journalCode=ytsr20</w:t>
        </w:r>
      </w:hyperlink>
    </w:p>
    <w:p>
      <w:pPr>
        <w:sectPr>
          <w:pgSz w:w="12680" w:h="16661" w:orient="portrait"/>
          <w:cols w:equalWidth="0" w:num="1">
            <w:col w:w="9806"/>
          </w:cols>
          <w:pgMar w:left="1440" w:top="811" w:right="1440" w:bottom="367" w:gutter="0" w:footer="0" w:header="0"/>
          <w:type w:val="continuous"/>
        </w:sectPr>
      </w:pPr>
    </w:p>
    <w:bookmarkStart w:id="1" w:name="page2"/>
    <w:bookmarkEnd w:id="1"/>
    <w:p>
      <w:pPr>
        <w:spacing w:after="0"/>
        <w:rPr>
          <w:sz w:val="20"/>
          <w:szCs w:val="20"/>
          <w:color w:val="auto"/>
        </w:rPr>
      </w:pPr>
      <w:r>
        <w:rPr>
          <w:rFonts w:ascii="Arial" w:cs="Arial" w:eastAsia="Arial" w:hAnsi="Arial"/>
          <w:sz w:val="15"/>
          <w:szCs w:val="15"/>
          <w:color w:val="auto"/>
        </w:rPr>
        <w:drawing>
          <wp:anchor simplePos="0" relativeHeight="251657728" behindDoc="1" locked="0" layoutInCell="0" allowOverlap="1">
            <wp:simplePos x="0" y="0"/>
            <wp:positionH relativeFrom="page">
              <wp:posOffset>5598160</wp:posOffset>
            </wp:positionH>
            <wp:positionV relativeFrom="page">
              <wp:posOffset>532130</wp:posOffset>
            </wp:positionV>
            <wp:extent cx="1290955" cy="3048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extLst>
                    </a:blip>
                    <a:srcRect/>
                    <a:stretch>
                      <a:fillRect/>
                    </a:stretch>
                  </pic:blipFill>
                  <pic:spPr bwMode="auto">
                    <a:xfrm>
                      <a:off x="0" y="0"/>
                      <a:ext cx="1290955" cy="304800"/>
                    </a:xfrm>
                    <a:prstGeom prst="rect">
                      <a:avLst/>
                    </a:prstGeom>
                    <a:noFill/>
                  </pic:spPr>
                </pic:pic>
              </a:graphicData>
            </a:graphic>
          </wp:anchor>
        </w:drawing>
        <w:t>TOPICS IN STROKE REHABILITATION</w:t>
      </w:r>
    </w:p>
    <w:p>
      <w:pPr>
        <w:spacing w:after="0" w:line="8" w:lineRule="exact"/>
        <w:rPr>
          <w:sz w:val="20"/>
          <w:szCs w:val="20"/>
          <w:color w:val="auto"/>
        </w:rPr>
      </w:pPr>
    </w:p>
    <w:p>
      <w:pPr>
        <w:spacing w:after="0"/>
        <w:rPr>
          <w:sz w:val="20"/>
          <w:szCs w:val="20"/>
          <w:color w:val="auto"/>
        </w:rPr>
      </w:pPr>
      <w:r>
        <w:rPr>
          <w:rFonts w:ascii="Arial" w:cs="Arial" w:eastAsia="Arial" w:hAnsi="Arial"/>
          <w:sz w:val="15"/>
          <w:szCs w:val="15"/>
          <w:color w:val="auto"/>
        </w:rPr>
        <w:t>https://doi.org/10.1080/10749357.2022.2051829</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59055</wp:posOffset>
                </wp:positionV>
                <wp:extent cx="624840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48400" cy="4763"/>
                        </a:xfrm>
                        <a:prstGeom prst="line">
                          <a:avLst/>
                        </a:prstGeom>
                        <a:solidFill>
                          <a:srgbClr val="FFFFFF"/>
                        </a:solidFill>
                        <a:ln w="12700">
                          <a:solidFill>
                            <a:srgbClr val="10147E"/>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4.65pt" to="492pt,4.65pt" o:allowincell="f" strokecolor="#10147E" strokeweight="1pt"/>
            </w:pict>
          </mc:Fallback>
        </mc:AlternateContent>
        <w:drawing>
          <wp:anchor simplePos="0" relativeHeight="251657728" behindDoc="1" locked="0" layoutInCell="0" allowOverlap="1">
            <wp:simplePos x="0" y="0"/>
            <wp:positionH relativeFrom="column">
              <wp:posOffset>5475605</wp:posOffset>
            </wp:positionH>
            <wp:positionV relativeFrom="paragraph">
              <wp:posOffset>127635</wp:posOffset>
            </wp:positionV>
            <wp:extent cx="770890" cy="15176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extLst>
                    </a:blip>
                    <a:srcRect/>
                    <a:stretch>
                      <a:fillRect/>
                    </a:stretch>
                  </pic:blipFill>
                  <pic:spPr bwMode="auto">
                    <a:xfrm>
                      <a:off x="0" y="0"/>
                      <a:ext cx="770890" cy="1517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ind w:right="600"/>
        <w:spacing w:after="0" w:line="253" w:lineRule="auto"/>
        <w:rPr>
          <w:sz w:val="20"/>
          <w:szCs w:val="20"/>
          <w:color w:val="auto"/>
        </w:rPr>
      </w:pPr>
      <w:r>
        <w:rPr>
          <w:rFonts w:ascii="Arial" w:cs="Arial" w:eastAsia="Arial" w:hAnsi="Arial"/>
          <w:sz w:val="28"/>
          <w:szCs w:val="28"/>
          <w:b w:val="1"/>
          <w:bCs w:val="1"/>
          <w:color w:val="10147E"/>
        </w:rPr>
        <w:t>Longitudinal changes of motor cortex function during motor recovery after stroke</w:t>
      </w:r>
    </w:p>
    <w:p>
      <w:pPr>
        <w:spacing w:after="0" w:line="93" w:lineRule="exact"/>
        <w:rPr>
          <w:sz w:val="20"/>
          <w:szCs w:val="20"/>
          <w:color w:val="auto"/>
        </w:rPr>
      </w:pPr>
    </w:p>
    <w:p>
      <w:pPr>
        <w:spacing w:after="0"/>
        <w:rPr>
          <w:sz w:val="20"/>
          <w:szCs w:val="20"/>
          <w:color w:val="auto"/>
        </w:rPr>
      </w:pPr>
      <w:r>
        <w:rPr>
          <w:rFonts w:ascii="Arial" w:cs="Arial" w:eastAsia="Arial" w:hAnsi="Arial"/>
          <w:sz w:val="21"/>
          <w:szCs w:val="21"/>
          <w:color w:val="auto"/>
        </w:rPr>
        <w:t>Li Chunyong</w:t>
      </w:r>
      <w:r>
        <w:rPr>
          <w:rFonts w:ascii="Arial" w:cs="Arial" w:eastAsia="Arial" w:hAnsi="Arial"/>
          <w:sz w:val="24"/>
          <w:szCs w:val="24"/>
          <w:color w:val="000080"/>
          <w:vertAlign w:val="superscript"/>
        </w:rPr>
        <w:t>a</w:t>
      </w:r>
      <w:r>
        <w:rPr>
          <w:rFonts w:ascii="Arial" w:cs="Arial" w:eastAsia="Arial" w:hAnsi="Arial"/>
          <w:sz w:val="21"/>
          <w:szCs w:val="21"/>
          <w:color w:val="auto"/>
        </w:rPr>
        <w:t>, Li Yingkai</w:t>
      </w:r>
      <w:r>
        <w:rPr>
          <w:rFonts w:ascii="Arial" w:cs="Arial" w:eastAsia="Arial" w:hAnsi="Arial"/>
          <w:sz w:val="24"/>
          <w:szCs w:val="24"/>
          <w:color w:val="000080"/>
          <w:vertAlign w:val="superscript"/>
        </w:rPr>
        <w:t>b</w:t>
      </w:r>
      <w:r>
        <w:rPr>
          <w:rFonts w:ascii="Arial" w:cs="Arial" w:eastAsia="Arial" w:hAnsi="Arial"/>
          <w:sz w:val="21"/>
          <w:szCs w:val="21"/>
          <w:color w:val="auto"/>
        </w:rPr>
        <w:t>, Liu Fuda</w:t>
      </w:r>
      <w:r>
        <w:rPr>
          <w:rFonts w:ascii="Arial" w:cs="Arial" w:eastAsia="Arial" w:hAnsi="Arial"/>
          <w:sz w:val="24"/>
          <w:szCs w:val="24"/>
          <w:color w:val="000080"/>
          <w:vertAlign w:val="superscript"/>
        </w:rPr>
        <w:t>c</w:t>
      </w:r>
      <w:r>
        <w:rPr>
          <w:rFonts w:ascii="Arial" w:cs="Arial" w:eastAsia="Arial" w:hAnsi="Arial"/>
          <w:sz w:val="21"/>
          <w:szCs w:val="21"/>
          <w:color w:val="auto"/>
        </w:rPr>
        <w:t>, Che Jiang</w:t>
      </w:r>
      <w:r>
        <w:rPr>
          <w:rFonts w:ascii="Arial" w:cs="Arial" w:eastAsia="Arial" w:hAnsi="Arial"/>
          <w:sz w:val="24"/>
          <w:szCs w:val="24"/>
          <w:color w:val="000080"/>
          <w:vertAlign w:val="superscript"/>
        </w:rPr>
        <w:t>d</w:t>
      </w:r>
      <w:r>
        <w:rPr>
          <w:rFonts w:ascii="Arial" w:cs="Arial" w:eastAsia="Arial" w:hAnsi="Arial"/>
          <w:sz w:val="21"/>
          <w:szCs w:val="21"/>
          <w:color w:val="auto"/>
        </w:rPr>
        <w:t>, and Yan Liu</w:t>
      </w:r>
      <w:r>
        <w:rPr>
          <w:sz w:val="1"/>
          <w:szCs w:val="1"/>
          <w:color w:val="auto"/>
        </w:rPr>
        <w:drawing>
          <wp:inline distT="0" distB="0" distL="0" distR="0">
            <wp:extent cx="127000" cy="127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extLst>
                    </a:blip>
                    <a:srcRect/>
                    <a:stretch>
                      <a:fillRect/>
                    </a:stretch>
                  </pic:blipFill>
                  <pic:spPr bwMode="auto">
                    <a:xfrm>
                      <a:off x="0" y="0"/>
                      <a:ext cx="127000" cy="127000"/>
                    </a:xfrm>
                    <a:prstGeom prst="rect">
                      <a:avLst/>
                    </a:prstGeom>
                    <a:noFill/>
                    <a:ln>
                      <a:noFill/>
                    </a:ln>
                  </pic:spPr>
                </pic:pic>
              </a:graphicData>
            </a:graphic>
          </wp:inline>
        </w:drawing>
      </w:r>
      <w:r>
        <w:rPr>
          <w:rFonts w:ascii="Arial" w:cs="Arial" w:eastAsia="Arial" w:hAnsi="Arial"/>
          <w:sz w:val="24"/>
          <w:szCs w:val="24"/>
          <w:color w:val="000080"/>
          <w:vertAlign w:val="superscript"/>
        </w:rPr>
        <w:t>e</w:t>
      </w:r>
    </w:p>
    <w:p>
      <w:pPr>
        <w:spacing w:after="0" w:line="136" w:lineRule="exact"/>
        <w:rPr>
          <w:sz w:val="20"/>
          <w:szCs w:val="20"/>
          <w:color w:val="auto"/>
        </w:rPr>
      </w:pPr>
    </w:p>
    <w:p>
      <w:pPr>
        <w:spacing w:after="0"/>
        <w:rPr>
          <w:sz w:val="20"/>
          <w:szCs w:val="20"/>
          <w:color w:val="auto"/>
        </w:rPr>
      </w:pPr>
      <w:r>
        <w:rPr>
          <w:rFonts w:ascii="Arial" w:cs="Arial" w:eastAsia="Arial" w:hAnsi="Arial"/>
          <w:sz w:val="18"/>
          <w:szCs w:val="18"/>
          <w:color w:val="auto"/>
          <w:vertAlign w:val="superscript"/>
        </w:rPr>
        <w:t>a</w:t>
      </w:r>
      <w:r>
        <w:rPr>
          <w:rFonts w:ascii="Arial" w:cs="Arial" w:eastAsia="Arial" w:hAnsi="Arial"/>
          <w:sz w:val="16"/>
          <w:szCs w:val="16"/>
          <w:color w:val="auto"/>
        </w:rPr>
        <w:t>Department Encephalopathy, Guangzhou Conghua District Hospital of Traditional Chinese Medicine, Guangzhou, Guangdong, China;</w:t>
      </w:r>
    </w:p>
    <w:p>
      <w:pPr>
        <w:spacing w:after="0" w:line="12" w:lineRule="exact"/>
        <w:rPr>
          <w:sz w:val="20"/>
          <w:szCs w:val="20"/>
          <w:color w:val="auto"/>
        </w:rPr>
      </w:pPr>
    </w:p>
    <w:p>
      <w:pPr>
        <w:spacing w:after="0" w:line="209" w:lineRule="auto"/>
        <w:rPr>
          <w:sz w:val="20"/>
          <w:szCs w:val="20"/>
          <w:color w:val="auto"/>
        </w:rPr>
      </w:pPr>
      <w:r>
        <w:rPr>
          <w:rFonts w:ascii="Arial" w:cs="Arial" w:eastAsia="Arial" w:hAnsi="Arial"/>
          <w:sz w:val="20"/>
          <w:szCs w:val="20"/>
          <w:color w:val="auto"/>
          <w:vertAlign w:val="superscript"/>
        </w:rPr>
        <w:t>b</w:t>
      </w:r>
      <w:r>
        <w:rPr>
          <w:rFonts w:ascii="Arial" w:cs="Arial" w:eastAsia="Arial" w:hAnsi="Arial"/>
          <w:sz w:val="18"/>
          <w:szCs w:val="18"/>
          <w:color w:val="auto"/>
        </w:rPr>
        <w:t xml:space="preserve">Department. Neurology, The First Affiliated Hospital of Sun Yat-sen University, Guangzhou, Guangdong, China; </w:t>
      </w:r>
      <w:r>
        <w:rPr>
          <w:rFonts w:ascii="Arial" w:cs="Arial" w:eastAsia="Arial" w:hAnsi="Arial"/>
          <w:sz w:val="20"/>
          <w:szCs w:val="20"/>
          <w:color w:val="auto"/>
          <w:vertAlign w:val="superscript"/>
        </w:rPr>
        <w:t>c</w:t>
      </w:r>
      <w:r>
        <w:rPr>
          <w:rFonts w:ascii="Arial" w:cs="Arial" w:eastAsia="Arial" w:hAnsi="Arial"/>
          <w:sz w:val="18"/>
          <w:szCs w:val="18"/>
          <w:color w:val="auto"/>
        </w:rPr>
        <w:t xml:space="preserve">Area 2, Department of Neurology, Jiangmen Central Hospital, Beijie, Jiangmen City, Guangdong, China; </w:t>
      </w:r>
      <w:r>
        <w:rPr>
          <w:rFonts w:ascii="Arial" w:cs="Arial" w:eastAsia="Arial" w:hAnsi="Arial"/>
          <w:sz w:val="20"/>
          <w:szCs w:val="20"/>
          <w:color w:val="auto"/>
          <w:vertAlign w:val="superscript"/>
        </w:rPr>
        <w:t>d</w:t>
      </w:r>
      <w:r>
        <w:rPr>
          <w:rFonts w:ascii="Arial" w:cs="Arial" w:eastAsia="Arial" w:hAnsi="Arial"/>
          <w:sz w:val="18"/>
          <w:szCs w:val="18"/>
          <w:color w:val="auto"/>
        </w:rPr>
        <w:t xml:space="preserve">Department of neurosurgery, General Hospital of Southern Theatre Command, PLA, Guangzhou, Yuexiu District, China; </w:t>
      </w:r>
      <w:r>
        <w:rPr>
          <w:rFonts w:ascii="Arial" w:cs="Arial" w:eastAsia="Arial" w:hAnsi="Arial"/>
          <w:sz w:val="20"/>
          <w:szCs w:val="20"/>
          <w:color w:val="auto"/>
          <w:vertAlign w:val="superscript"/>
        </w:rPr>
        <w:t>e</w:t>
      </w:r>
      <w:r>
        <w:rPr>
          <w:rFonts w:ascii="Arial" w:cs="Arial" w:eastAsia="Arial" w:hAnsi="Arial"/>
          <w:sz w:val="18"/>
          <w:szCs w:val="18"/>
          <w:color w:val="auto"/>
        </w:rPr>
        <w:t>Department Neurology, Foresea Life Insurance Guangzhou General Hospital, Guangzhou, Guangdong, China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124460</wp:posOffset>
                </wp:positionV>
                <wp:extent cx="5029200" cy="265557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9200" cy="2655570"/>
                        </a:xfrm>
                        <a:prstGeom prst="rect">
                          <a:avLst/>
                        </a:prstGeom>
                        <a:solidFill>
                          <a:srgbClr val="E7E8F2"/>
                        </a:solidFill>
                      </wps:spPr>
                      <wps:bodyPr/>
                    </wps:wsp>
                  </a:graphicData>
                </a:graphic>
              </wp:anchor>
            </w:drawing>
          </mc:Choice>
          <mc:Fallback>
            <w:pict>
              <v:rect id="Shape 21" o:spid="_x0000_s1046" style="position:absolute;margin-left:0pt;margin-top:9.8pt;width:396pt;height:209.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E7E8F2" stroked="f"/>
            </w:pict>
          </mc:Fallback>
        </mc:AlternateContent>
      </w:r>
    </w:p>
    <w:p>
      <w:pPr>
        <w:sectPr>
          <w:pgSz w:w="11880" w:h="15840" w:orient="portrait"/>
          <w:cols w:equalWidth="0" w:num="1">
            <w:col w:w="9840"/>
          </w:cols>
          <w:pgMar w:left="1020" w:top="1004" w:right="1019" w:bottom="363" w:gutter="0" w:footer="0" w:header="0"/>
        </w:sectPr>
      </w:pPr>
    </w:p>
    <w:p>
      <w:pPr>
        <w:spacing w:after="0" w:line="388" w:lineRule="exact"/>
        <w:rPr>
          <w:sz w:val="20"/>
          <w:szCs w:val="20"/>
          <w:color w:val="auto"/>
        </w:rPr>
      </w:pPr>
    </w:p>
    <w:p>
      <w:pPr>
        <w:ind w:left="240"/>
        <w:spacing w:after="0"/>
        <w:rPr>
          <w:sz w:val="20"/>
          <w:szCs w:val="20"/>
          <w:color w:val="auto"/>
        </w:rPr>
      </w:pPr>
      <w:r>
        <w:rPr>
          <w:rFonts w:ascii="Arial" w:cs="Arial" w:eastAsia="Arial" w:hAnsi="Arial"/>
          <w:sz w:val="15"/>
          <w:szCs w:val="15"/>
          <w:b w:val="1"/>
          <w:bCs w:val="1"/>
          <w:color w:val="10147E"/>
        </w:rPr>
        <w:t>ABSTRACT</w:t>
      </w:r>
    </w:p>
    <w:p>
      <w:pPr>
        <w:spacing w:after="0" w:line="14" w:lineRule="exact"/>
        <w:rPr>
          <w:sz w:val="20"/>
          <w:szCs w:val="20"/>
          <w:color w:val="auto"/>
        </w:rPr>
      </w:pPr>
    </w:p>
    <w:p>
      <w:pPr>
        <w:jc w:val="both"/>
        <w:ind w:left="240"/>
        <w:spacing w:after="0" w:line="247" w:lineRule="auto"/>
        <w:rPr>
          <w:sz w:val="20"/>
          <w:szCs w:val="20"/>
          <w:color w:val="auto"/>
        </w:rPr>
      </w:pPr>
      <w:r>
        <w:rPr>
          <w:rFonts w:ascii="Arial" w:cs="Arial" w:eastAsia="Arial" w:hAnsi="Arial"/>
          <w:sz w:val="17"/>
          <w:szCs w:val="17"/>
          <w:b w:val="1"/>
          <w:bCs w:val="1"/>
          <w:color w:val="auto"/>
        </w:rPr>
        <w:t xml:space="preserve">Background and purpose: </w:t>
      </w:r>
      <w:r>
        <w:rPr>
          <w:rFonts w:ascii="Arial" w:cs="Arial" w:eastAsia="Arial" w:hAnsi="Arial"/>
          <w:sz w:val="17"/>
          <w:szCs w:val="17"/>
          <w:color w:val="auto"/>
        </w:rPr>
        <w:t>Functional magnetic resonance imaging (fMRI) combined with beha-vioral assessments was used in our study to investigate the dynamic process of motor cortical functional reorganization after infarction. Therefore, we could provide a theoretical basis and build a useful evaluation system for rehabilitation after stroke and various other cerebral injuries.</w:t>
      </w:r>
    </w:p>
    <w:p>
      <w:pPr>
        <w:spacing w:after="0" w:line="3" w:lineRule="exact"/>
        <w:rPr>
          <w:sz w:val="20"/>
          <w:szCs w:val="20"/>
          <w:color w:val="auto"/>
        </w:rPr>
      </w:pPr>
    </w:p>
    <w:p>
      <w:pPr>
        <w:jc w:val="both"/>
        <w:ind w:left="240"/>
        <w:spacing w:after="0" w:line="245" w:lineRule="auto"/>
        <w:rPr>
          <w:sz w:val="20"/>
          <w:szCs w:val="20"/>
          <w:color w:val="auto"/>
        </w:rPr>
      </w:pPr>
      <w:r>
        <w:rPr>
          <w:rFonts w:ascii="Arial" w:cs="Arial" w:eastAsia="Arial" w:hAnsi="Arial"/>
          <w:sz w:val="17"/>
          <w:szCs w:val="17"/>
          <w:b w:val="1"/>
          <w:bCs w:val="1"/>
          <w:color w:val="auto"/>
        </w:rPr>
        <w:t xml:space="preserve">Methods: </w:t>
      </w:r>
      <w:r>
        <w:rPr>
          <w:rFonts w:ascii="Arial" w:cs="Arial" w:eastAsia="Arial" w:hAnsi="Arial"/>
          <w:sz w:val="17"/>
          <w:szCs w:val="17"/>
          <w:color w:val="auto"/>
        </w:rPr>
        <w:t>Acute stroke patients with a single lesion in the middle cerebral artery supply area and</w:t>
      </w:r>
      <w:r>
        <w:rPr>
          <w:rFonts w:ascii="Arial" w:cs="Arial" w:eastAsia="Arial" w:hAnsi="Arial"/>
          <w:sz w:val="17"/>
          <w:szCs w:val="17"/>
          <w:b w:val="1"/>
          <w:bCs w:val="1"/>
          <w:color w:val="auto"/>
        </w:rPr>
        <w:t xml:space="preserve"> </w:t>
      </w:r>
      <w:r>
        <w:rPr>
          <w:rFonts w:ascii="Arial" w:cs="Arial" w:eastAsia="Arial" w:hAnsi="Arial"/>
          <w:sz w:val="17"/>
          <w:szCs w:val="17"/>
          <w:color w:val="auto"/>
        </w:rPr>
        <w:t>age- and sex-matched healthy volunteers were recruited. A longitudinal observational study invol-ving 20 patients with stroke was conducted using repeated fMRI. Task-based fMRI data were acquired 3 times over a period of 3 months. The behavioral assessment included dynamometer and finger-tapping tests to evaluate the strength and dexterity of each upper arm.</w:t>
      </w:r>
    </w:p>
    <w:p>
      <w:pPr>
        <w:spacing w:after="0" w:line="2" w:lineRule="exact"/>
        <w:rPr>
          <w:sz w:val="20"/>
          <w:szCs w:val="20"/>
          <w:color w:val="auto"/>
        </w:rPr>
      </w:pPr>
    </w:p>
    <w:p>
      <w:pPr>
        <w:jc w:val="both"/>
        <w:ind w:left="240"/>
        <w:spacing w:after="0" w:line="231" w:lineRule="auto"/>
        <w:rPr>
          <w:sz w:val="20"/>
          <w:szCs w:val="20"/>
          <w:color w:val="auto"/>
        </w:rPr>
      </w:pPr>
      <w:r>
        <w:rPr>
          <w:rFonts w:ascii="Arial" w:cs="Arial" w:eastAsia="Arial" w:hAnsi="Arial"/>
          <w:sz w:val="18"/>
          <w:szCs w:val="18"/>
          <w:b w:val="1"/>
          <w:bCs w:val="1"/>
          <w:color w:val="auto"/>
        </w:rPr>
        <w:t xml:space="preserve">Results: </w:t>
      </w:r>
      <w:r>
        <w:rPr>
          <w:rFonts w:ascii="Arial" w:cs="Arial" w:eastAsia="Arial" w:hAnsi="Arial"/>
          <w:sz w:val="18"/>
          <w:szCs w:val="18"/>
          <w:color w:val="auto"/>
        </w:rPr>
        <w:t>Behavioral results: The behavioral assessments demonstrated large improvements in</w:t>
      </w:r>
      <w:r>
        <w:rPr>
          <w:rFonts w:ascii="Arial" w:cs="Arial" w:eastAsia="Arial" w:hAnsi="Arial"/>
          <w:sz w:val="18"/>
          <w:szCs w:val="18"/>
          <w:b w:val="1"/>
          <w:bCs w:val="1"/>
          <w:color w:val="auto"/>
        </w:rPr>
        <w:t xml:space="preserve"> </w:t>
      </w:r>
      <w:r>
        <w:rPr>
          <w:rFonts w:ascii="Arial" w:cs="Arial" w:eastAsia="Arial" w:hAnsi="Arial"/>
          <w:sz w:val="18"/>
          <w:szCs w:val="18"/>
          <w:color w:val="auto"/>
        </w:rPr>
        <w:t>session 2 and session 3. fMRI results: The healthy group showed activation in the contralateral primary sensory-motor cortex (S1M1) when executing tasks with either the left or right hand. Compared with the healthy subjects, the patients demonstrated greater activation in the ipsilateral frontal and parietal cortices and supplementary motor areas (SMAs). Across all sessions, more motor activation was observed in the left infarction group.</w:t>
      </w:r>
    </w:p>
    <w:p>
      <w:pPr>
        <w:spacing w:after="0" w:line="4" w:lineRule="exact"/>
        <w:rPr>
          <w:sz w:val="20"/>
          <w:szCs w:val="20"/>
          <w:color w:val="auto"/>
        </w:rPr>
      </w:pPr>
    </w:p>
    <w:p>
      <w:pPr>
        <w:jc w:val="both"/>
        <w:ind w:left="240"/>
        <w:spacing w:after="0" w:line="248" w:lineRule="auto"/>
        <w:rPr>
          <w:sz w:val="20"/>
          <w:szCs w:val="20"/>
          <w:color w:val="auto"/>
        </w:rPr>
      </w:pPr>
      <w:r>
        <w:rPr>
          <w:rFonts w:ascii="Arial" w:cs="Arial" w:eastAsia="Arial" w:hAnsi="Arial"/>
          <w:sz w:val="17"/>
          <w:szCs w:val="17"/>
          <w:b w:val="1"/>
          <w:bCs w:val="1"/>
          <w:color w:val="auto"/>
        </w:rPr>
        <w:t xml:space="preserve">Conclusions: </w:t>
      </w:r>
      <w:r>
        <w:rPr>
          <w:rFonts w:ascii="Arial" w:cs="Arial" w:eastAsia="Arial" w:hAnsi="Arial"/>
          <w:sz w:val="17"/>
          <w:szCs w:val="17"/>
          <w:color w:val="auto"/>
        </w:rPr>
        <w:t>Our results show that motor cortical activation induced by moving the paretic hand</w:t>
      </w:r>
      <w:r>
        <w:rPr>
          <w:rFonts w:ascii="Arial" w:cs="Arial" w:eastAsia="Arial" w:hAnsi="Arial"/>
          <w:sz w:val="17"/>
          <w:szCs w:val="17"/>
          <w:b w:val="1"/>
          <w:bCs w:val="1"/>
          <w:color w:val="auto"/>
        </w:rPr>
        <w:t xml:space="preserve"> </w:t>
      </w:r>
      <w:r>
        <w:rPr>
          <w:rFonts w:ascii="Arial" w:cs="Arial" w:eastAsia="Arial" w:hAnsi="Arial"/>
          <w:sz w:val="17"/>
          <w:szCs w:val="17"/>
          <w:color w:val="auto"/>
        </w:rPr>
        <w:t>changes over time. There were differences in motor functional recovery and motor cortex com-pensation between the dominant hemisphere and nondominant hemisphere after stroke.</w:t>
      </w:r>
    </w:p>
    <w:p>
      <w:pPr>
        <w:spacing w:after="0" w:line="20" w:lineRule="exact"/>
        <w:rPr>
          <w:sz w:val="20"/>
          <w:szCs w:val="20"/>
          <w:color w:val="auto"/>
        </w:rPr>
      </w:pPr>
      <w:r>
        <w:rPr>
          <w:sz w:val="20"/>
          <w:szCs w:val="20"/>
          <w:color w:val="auto"/>
        </w:rPr>
        <w:br w:type="column"/>
      </w:r>
    </w:p>
    <w:p>
      <w:pPr>
        <w:spacing w:after="0" w:line="368" w:lineRule="exact"/>
        <w:rPr>
          <w:sz w:val="20"/>
          <w:szCs w:val="20"/>
          <w:color w:val="auto"/>
        </w:rPr>
      </w:pPr>
    </w:p>
    <w:p>
      <w:pPr>
        <w:spacing w:after="0"/>
        <w:rPr>
          <w:sz w:val="20"/>
          <w:szCs w:val="20"/>
          <w:color w:val="auto"/>
        </w:rPr>
      </w:pPr>
      <w:r>
        <w:rPr>
          <w:rFonts w:ascii="Arial" w:cs="Arial" w:eastAsia="Arial" w:hAnsi="Arial"/>
          <w:sz w:val="15"/>
          <w:szCs w:val="15"/>
          <w:b w:val="1"/>
          <w:bCs w:val="1"/>
          <w:color w:val="10147E"/>
        </w:rPr>
        <w:t>ARTICLE HISTORY</w:t>
      </w:r>
    </w:p>
    <w:p>
      <w:pPr>
        <w:spacing w:after="0" w:line="17" w:lineRule="exact"/>
        <w:rPr>
          <w:sz w:val="20"/>
          <w:szCs w:val="20"/>
          <w:color w:val="auto"/>
        </w:rPr>
      </w:pPr>
    </w:p>
    <w:p>
      <w:pPr>
        <w:ind w:right="320"/>
        <w:spacing w:after="0" w:line="297" w:lineRule="auto"/>
        <w:rPr>
          <w:sz w:val="20"/>
          <w:szCs w:val="20"/>
          <w:color w:val="auto"/>
        </w:rPr>
      </w:pPr>
      <w:r>
        <w:rPr>
          <w:rFonts w:ascii="Arial" w:cs="Arial" w:eastAsia="Arial" w:hAnsi="Arial"/>
          <w:sz w:val="14"/>
          <w:szCs w:val="14"/>
          <w:color w:val="auto"/>
        </w:rPr>
        <w:t>Received 18 June 2021 Accepted 5 March 2022</w:t>
      </w:r>
    </w:p>
    <w:p>
      <w:pPr>
        <w:spacing w:after="0" w:line="91" w:lineRule="exact"/>
        <w:rPr>
          <w:sz w:val="20"/>
          <w:szCs w:val="20"/>
          <w:color w:val="auto"/>
        </w:rPr>
      </w:pPr>
    </w:p>
    <w:p>
      <w:pPr>
        <w:spacing w:after="0"/>
        <w:rPr>
          <w:sz w:val="20"/>
          <w:szCs w:val="20"/>
          <w:color w:val="auto"/>
        </w:rPr>
      </w:pPr>
      <w:r>
        <w:rPr>
          <w:rFonts w:ascii="Arial" w:cs="Arial" w:eastAsia="Arial" w:hAnsi="Arial"/>
          <w:sz w:val="15"/>
          <w:szCs w:val="15"/>
          <w:b w:val="1"/>
          <w:bCs w:val="1"/>
          <w:color w:val="10147E"/>
        </w:rPr>
        <w:t>KEYWORDS</w:t>
      </w:r>
    </w:p>
    <w:p>
      <w:pPr>
        <w:spacing w:after="0" w:line="18" w:lineRule="exact"/>
        <w:rPr>
          <w:sz w:val="20"/>
          <w:szCs w:val="20"/>
          <w:color w:val="auto"/>
        </w:rPr>
      </w:pPr>
    </w:p>
    <w:p>
      <w:pPr>
        <w:ind w:right="420"/>
        <w:spacing w:after="0" w:line="312" w:lineRule="auto"/>
        <w:rPr>
          <w:sz w:val="20"/>
          <w:szCs w:val="20"/>
          <w:color w:val="auto"/>
        </w:rPr>
      </w:pPr>
      <w:r>
        <w:rPr>
          <w:rFonts w:ascii="Arial" w:cs="Arial" w:eastAsia="Arial" w:hAnsi="Arial"/>
          <w:sz w:val="13"/>
          <w:szCs w:val="13"/>
          <w:color w:val="auto"/>
        </w:rPr>
        <w:t>fMRI; motor cortex; reorganization; stroke; rehabilitation; BOLD</w:t>
      </w:r>
    </w:p>
    <w:p>
      <w:pPr>
        <w:spacing w:after="0" w:line="2546" w:lineRule="exact"/>
        <w:rPr>
          <w:sz w:val="20"/>
          <w:szCs w:val="20"/>
          <w:color w:val="auto"/>
        </w:rPr>
      </w:pPr>
    </w:p>
    <w:p>
      <w:pPr>
        <w:sectPr>
          <w:pgSz w:w="11880" w:h="15840" w:orient="portrait"/>
          <w:cols w:equalWidth="0" w:num="2">
            <w:col w:w="7680" w:space="360"/>
            <w:col w:w="1800"/>
          </w:cols>
          <w:pgMar w:left="1020" w:top="1004" w:right="1019" w:bottom="363" w:gutter="0" w:footer="0" w:header="0"/>
          <w:type w:val="continuous"/>
        </w:sect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22"/>
          <w:szCs w:val="22"/>
          <w:b w:val="1"/>
          <w:bCs w:val="1"/>
          <w:color w:val="10147E"/>
        </w:rPr>
        <w:t>1. Introduction</w:t>
      </w:r>
    </w:p>
    <w:p>
      <w:pPr>
        <w:spacing w:after="0" w:line="174" w:lineRule="exact"/>
        <w:rPr>
          <w:sz w:val="20"/>
          <w:szCs w:val="20"/>
          <w:color w:val="auto"/>
        </w:rPr>
      </w:pPr>
    </w:p>
    <w:p>
      <w:pPr>
        <w:jc w:val="both"/>
        <w:spacing w:after="0" w:line="284" w:lineRule="auto"/>
        <w:rPr>
          <w:sz w:val="20"/>
          <w:szCs w:val="20"/>
          <w:color w:val="auto"/>
        </w:rPr>
      </w:pPr>
      <w:r>
        <w:rPr>
          <w:rFonts w:ascii="Arial" w:cs="Arial" w:eastAsia="Arial" w:hAnsi="Arial"/>
          <w:sz w:val="20"/>
          <w:szCs w:val="20"/>
          <w:color w:val="auto"/>
        </w:rPr>
        <w:t>Stroke has the highest morbidity and mortality rates in the developed world. Most patients have different degrees of brain dysfunction; approxi-mately 65%~80% of stroke patients experience dyskinesia.</w:t>
      </w:r>
      <w:r>
        <w:rPr>
          <w:rFonts w:ascii="Arial" w:cs="Arial" w:eastAsia="Arial" w:hAnsi="Arial"/>
          <w:sz w:val="26"/>
          <w:szCs w:val="26"/>
          <w:color w:val="000080"/>
          <w:vertAlign w:val="superscript"/>
        </w:rPr>
        <w:t>1</w:t>
      </w:r>
      <w:r>
        <w:rPr>
          <w:rFonts w:ascii="Arial" w:cs="Arial" w:eastAsia="Arial" w:hAnsi="Arial"/>
          <w:sz w:val="20"/>
          <w:szCs w:val="20"/>
          <w:color w:val="auto"/>
        </w:rPr>
        <w:t xml:space="preserve"> Neuroplasticity includes changes in the structure and function of the central nervous system after injury and changes in “activity” modification.</w:t>
      </w:r>
      <w:r>
        <w:rPr>
          <w:rFonts w:ascii="Arial" w:cs="Arial" w:eastAsia="Arial" w:hAnsi="Arial"/>
          <w:sz w:val="26"/>
          <w:szCs w:val="26"/>
          <w:color w:val="000080"/>
          <w:vertAlign w:val="superscript"/>
        </w:rPr>
        <w:t>2</w:t>
      </w:r>
      <w:r>
        <w:rPr>
          <w:rFonts w:ascii="Arial" w:cs="Arial" w:eastAsia="Arial" w:hAnsi="Arial"/>
          <w:sz w:val="20"/>
          <w:szCs w:val="20"/>
          <w:color w:val="auto"/>
        </w:rPr>
        <w:t xml:space="preserve"> Neuroplasticity plays an important role in the recovery of nerve function after stroke and can compensate for the loss of motor function after stroke. Many studies involving human and animal models have shown that the central nervous system promotes motor recovery after brain injury through brain functional reorganization, which is not only limited to the preserved region of the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86360</wp:posOffset>
            </wp:positionV>
            <wp:extent cx="6248400" cy="381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extLst>
                        <a:ext uri="{28A0092B-C50C-407E-A947-70E740481C1C}"/>
                      </a:extLst>
                    </a:blip>
                    <a:srcRect/>
                    <a:stretch>
                      <a:fillRect/>
                    </a:stretch>
                  </pic:blipFill>
                  <pic:spPr bwMode="auto">
                    <a:xfrm>
                      <a:off x="0" y="0"/>
                      <a:ext cx="6248400" cy="3810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39" w:lineRule="exact"/>
        <w:rPr>
          <w:sz w:val="20"/>
          <w:szCs w:val="20"/>
          <w:color w:val="auto"/>
        </w:rPr>
      </w:pPr>
    </w:p>
    <w:p>
      <w:pPr>
        <w:jc w:val="both"/>
        <w:spacing w:after="0" w:line="242" w:lineRule="auto"/>
        <w:rPr>
          <w:sz w:val="20"/>
          <w:szCs w:val="20"/>
          <w:color w:val="auto"/>
        </w:rPr>
      </w:pPr>
      <w:r>
        <w:rPr>
          <w:rFonts w:ascii="Arial" w:cs="Arial" w:eastAsia="Arial" w:hAnsi="Arial"/>
          <w:sz w:val="22"/>
          <w:szCs w:val="22"/>
          <w:color w:val="auto"/>
        </w:rPr>
        <w:t>injured hemisphere but also occurs in the isotonic region of the intact hemisphere.</w:t>
      </w:r>
      <w:r>
        <w:rPr>
          <w:rFonts w:ascii="Arial" w:cs="Arial" w:eastAsia="Arial" w:hAnsi="Arial"/>
          <w:sz w:val="29"/>
          <w:szCs w:val="29"/>
          <w:color w:val="000080"/>
          <w:vertAlign w:val="superscript"/>
        </w:rPr>
        <w:t>3</w:t>
      </w:r>
      <w:r>
        <w:rPr>
          <w:rFonts w:ascii="Arial" w:cs="Arial" w:eastAsia="Arial" w:hAnsi="Arial"/>
          <w:sz w:val="22"/>
          <w:szCs w:val="22"/>
          <w:color w:val="auto"/>
        </w:rPr>
        <w:t xml:space="preserve"> Brain plasticity can occur spontaneously after brain injury, and rehabilitation training can modify and promote this neuroplasticity process.</w:t>
      </w:r>
      <w:r>
        <w:rPr>
          <w:rFonts w:ascii="Arial" w:cs="Arial" w:eastAsia="Arial" w:hAnsi="Arial"/>
          <w:sz w:val="29"/>
          <w:szCs w:val="29"/>
          <w:color w:val="000080"/>
          <w:vertAlign w:val="superscript"/>
        </w:rPr>
        <w:t>4</w:t>
      </w:r>
    </w:p>
    <w:p>
      <w:pPr>
        <w:spacing w:after="0" w:line="5" w:lineRule="exact"/>
        <w:rPr>
          <w:sz w:val="20"/>
          <w:szCs w:val="20"/>
          <w:color w:val="auto"/>
        </w:rPr>
      </w:pPr>
    </w:p>
    <w:p>
      <w:pPr>
        <w:jc w:val="both"/>
        <w:ind w:firstLine="239"/>
        <w:spacing w:after="0" w:line="295" w:lineRule="auto"/>
        <w:rPr>
          <w:sz w:val="20"/>
          <w:szCs w:val="20"/>
          <w:color w:val="auto"/>
        </w:rPr>
      </w:pPr>
      <w:r>
        <w:rPr>
          <w:rFonts w:ascii="Arial" w:cs="Arial" w:eastAsia="Arial" w:hAnsi="Arial"/>
          <w:sz w:val="20"/>
          <w:szCs w:val="20"/>
          <w:color w:val="auto"/>
        </w:rPr>
        <w:t>The mechanisms of cortical function reorganiza-tion involve the reorganization of periinfarct tis-sues, the recruitment of the ipsilesional or contralesional cortex, changes in interhemispheric interactions or bihemispheric connections, and the regulation of synaptic fuction.</w:t>
      </w:r>
      <w:r>
        <w:rPr>
          <w:rFonts w:ascii="Arial" w:cs="Arial" w:eastAsia="Arial" w:hAnsi="Arial"/>
          <w:sz w:val="26"/>
          <w:szCs w:val="26"/>
          <w:color w:val="000080"/>
          <w:vertAlign w:val="superscript"/>
        </w:rPr>
        <w:t>5</w:t>
      </w:r>
      <w:r>
        <w:rPr>
          <w:rFonts w:ascii="Arial" w:cs="Arial" w:eastAsia="Arial" w:hAnsi="Arial"/>
          <w:sz w:val="20"/>
          <w:szCs w:val="20"/>
          <w:color w:val="auto"/>
        </w:rPr>
        <w:t xml:space="preserve"> However, at differ-ent stages after stroke, there is complex coactivation of the normal cortex and the focal cortex. For example, studies have shown that the correspond-ing area in the contralateral cortex frequently shows coactivation during the recovery stage of stroke, but</w:t>
      </w:r>
    </w:p>
    <w:p>
      <w:pPr>
        <w:spacing w:after="0" w:line="209" w:lineRule="exact"/>
        <w:rPr>
          <w:sz w:val="20"/>
          <w:szCs w:val="20"/>
          <w:color w:val="auto"/>
        </w:rPr>
      </w:pPr>
    </w:p>
    <w:p>
      <w:pPr>
        <w:sectPr>
          <w:pgSz w:w="11880" w:h="15840" w:orient="portrait"/>
          <w:cols w:equalWidth="0" w:num="2">
            <w:col w:w="4740" w:space="360"/>
            <w:col w:w="4740"/>
          </w:cols>
          <w:pgMar w:left="1020" w:top="1004" w:right="1019" w:bottom="363" w:gutter="0" w:footer="0" w:header="0"/>
          <w:type w:val="continuous"/>
        </w:sectPr>
      </w:pPr>
    </w:p>
    <w:p>
      <w:pPr>
        <w:spacing w:after="0" w:line="36" w:lineRule="exact"/>
        <w:rPr>
          <w:sz w:val="20"/>
          <w:szCs w:val="20"/>
          <w:color w:val="auto"/>
        </w:rPr>
      </w:pPr>
    </w:p>
    <w:p>
      <w:pPr>
        <w:spacing w:after="0" w:line="250" w:lineRule="auto"/>
        <w:rPr>
          <w:sz w:val="20"/>
          <w:szCs w:val="20"/>
          <w:color w:val="auto"/>
        </w:rPr>
      </w:pPr>
      <w:r>
        <w:rPr>
          <w:rFonts w:ascii="Arial" w:cs="Arial" w:eastAsia="Arial" w:hAnsi="Arial"/>
          <w:sz w:val="16"/>
          <w:szCs w:val="16"/>
          <w:b w:val="1"/>
          <w:bCs w:val="1"/>
          <w:color w:val="10147E"/>
        </w:rPr>
        <w:t xml:space="preserve">CONTACT </w:t>
      </w:r>
      <w:r>
        <w:rPr>
          <w:rFonts w:ascii="Arial" w:cs="Arial" w:eastAsia="Arial" w:hAnsi="Arial"/>
          <w:sz w:val="16"/>
          <w:szCs w:val="16"/>
          <w:color w:val="000000"/>
        </w:rPr>
        <w:t xml:space="preserve">Yan Liu </w:t>
      </w:r>
      <w:r>
        <w:rPr>
          <w:sz w:val="1"/>
          <w:szCs w:val="1"/>
          <w:color w:val="auto"/>
        </w:rPr>
        <w:drawing>
          <wp:inline distT="0" distB="0" distL="0" distR="0">
            <wp:extent cx="127000" cy="952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extLst>
                    </a:blip>
                    <a:srcRect/>
                    <a:stretch>
                      <a:fillRect/>
                    </a:stretch>
                  </pic:blipFill>
                  <pic:spPr bwMode="auto">
                    <a:xfrm>
                      <a:off x="0" y="0"/>
                      <a:ext cx="127000" cy="95250"/>
                    </a:xfrm>
                    <a:prstGeom prst="rect">
                      <a:avLst/>
                    </a:prstGeom>
                    <a:noFill/>
                    <a:ln>
                      <a:noFill/>
                    </a:ln>
                  </pic:spPr>
                </pic:pic>
              </a:graphicData>
            </a:graphic>
          </wp:inline>
        </w:drawing>
      </w:r>
      <w:r>
        <w:rPr>
          <w:rFonts w:ascii="Arial" w:cs="Arial" w:eastAsia="Arial" w:hAnsi="Arial"/>
          <w:sz w:val="16"/>
          <w:szCs w:val="16"/>
          <w:color w:val="000080"/>
        </w:rPr>
        <w:t xml:space="preserve"> 13060812626@163.com </w:t>
      </w:r>
      <w:r>
        <w:rPr>
          <w:sz w:val="1"/>
          <w:szCs w:val="1"/>
          <w:color w:val="auto"/>
        </w:rPr>
        <w:drawing>
          <wp:inline distT="0" distB="0" distL="0" distR="0">
            <wp:extent cx="12700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extLst>
                    </a:blip>
                    <a:srcRect/>
                    <a:stretch>
                      <a:fillRect/>
                    </a:stretch>
                  </pic:blipFill>
                  <pic:spPr bwMode="auto">
                    <a:xfrm>
                      <a:off x="0" y="0"/>
                      <a:ext cx="127000" cy="95250"/>
                    </a:xfrm>
                    <a:prstGeom prst="rect">
                      <a:avLst/>
                    </a:prstGeom>
                    <a:noFill/>
                    <a:ln>
                      <a:noFill/>
                    </a:ln>
                  </pic:spPr>
                </pic:pic>
              </a:graphicData>
            </a:graphic>
          </wp:inline>
        </w:drawing>
      </w:r>
      <w:r>
        <w:rPr>
          <w:rFonts w:ascii="Arial" w:cs="Arial" w:eastAsia="Arial" w:hAnsi="Arial"/>
          <w:sz w:val="16"/>
          <w:szCs w:val="16"/>
          <w:color w:val="auto"/>
        </w:rPr>
        <w:t xml:space="preserve"> Department of Neurology, Foresea Life Insurance Guangzhou General Hospital, No. 703, Xincheng Avenue, Guangzhou, 511340, PR China</w:t>
      </w:r>
    </w:p>
    <w:p>
      <w:pPr>
        <w:spacing w:after="0" w:line="29" w:lineRule="exact"/>
        <w:rPr>
          <w:sz w:val="20"/>
          <w:szCs w:val="20"/>
          <w:color w:val="auto"/>
        </w:rPr>
      </w:pPr>
    </w:p>
    <w:p>
      <w:pPr>
        <w:spacing w:after="0"/>
        <w:rPr>
          <w:sz w:val="20"/>
          <w:szCs w:val="20"/>
          <w:color w:val="auto"/>
        </w:rPr>
      </w:pPr>
      <w:r>
        <w:rPr>
          <w:rFonts w:ascii="Arial" w:cs="Arial" w:eastAsia="Arial" w:hAnsi="Arial"/>
          <w:sz w:val="16"/>
          <w:szCs w:val="16"/>
          <w:color w:val="10147E"/>
        </w:rPr>
        <w:t>*</w:t>
      </w:r>
      <w:r>
        <w:rPr>
          <w:rFonts w:ascii="Arial" w:cs="Arial" w:eastAsia="Arial" w:hAnsi="Arial"/>
          <w:sz w:val="16"/>
          <w:szCs w:val="16"/>
          <w:color w:val="000000"/>
        </w:rPr>
        <w:t>(Chunyong Li and Yingkai Li contributed equally to this study.)</w:t>
      </w:r>
    </w:p>
    <w:p>
      <w:pPr>
        <w:spacing w:after="0" w:line="235" w:lineRule="auto"/>
        <w:rPr>
          <w:sz w:val="20"/>
          <w:szCs w:val="20"/>
          <w:color w:val="auto"/>
        </w:rPr>
      </w:pPr>
      <w:r>
        <w:rPr>
          <w:rFonts w:ascii="Arial" w:cs="Arial" w:eastAsia="Arial" w:hAnsi="Arial"/>
          <w:sz w:val="16"/>
          <w:szCs w:val="16"/>
          <w:color w:val="auto"/>
        </w:rPr>
        <w:t>This article has been corrected with minor changes. These changes do not impact the academic content of the article.</w:t>
      </w:r>
    </w:p>
    <w:p>
      <w:pPr>
        <w:spacing w:after="0" w:line="53" w:lineRule="exact"/>
        <w:rPr>
          <w:sz w:val="20"/>
          <w:szCs w:val="20"/>
          <w:color w:val="auto"/>
        </w:rPr>
      </w:pPr>
    </w:p>
    <w:p>
      <w:pPr>
        <w:spacing w:after="0"/>
        <w:rPr>
          <w:sz w:val="20"/>
          <w:szCs w:val="20"/>
          <w:color w:val="auto"/>
        </w:rPr>
      </w:pPr>
      <w:r>
        <w:rPr>
          <w:rFonts w:ascii="Arial" w:cs="Arial" w:eastAsia="Arial" w:hAnsi="Arial"/>
          <w:sz w:val="14"/>
          <w:szCs w:val="14"/>
          <w:color w:val="auto"/>
        </w:rPr>
        <w:t>© 2022 Taylor &amp; Francis Group, LLC</w:t>
      </w:r>
    </w:p>
    <w:p>
      <w:pPr>
        <w:sectPr>
          <w:pgSz w:w="11880" w:h="15840" w:orient="portrait"/>
          <w:cols w:equalWidth="0" w:num="1">
            <w:col w:w="9840"/>
          </w:cols>
          <w:pgMar w:left="1020" w:top="1004" w:right="1019" w:bottom="363" w:gutter="0" w:footer="0" w:header="0"/>
          <w:type w:val="continuous"/>
        </w:sectPr>
      </w:pPr>
    </w:p>
    <w:bookmarkStart w:id="2" w:name="page3"/>
    <w:bookmarkEnd w:id="2"/>
    <w:p>
      <w:pPr>
        <w:spacing w:after="0"/>
        <w:tabs>
          <w:tab w:leader="none" w:pos="207" w:val="left"/>
        </w:tabs>
        <w:rPr>
          <w:sz w:val="20"/>
          <w:szCs w:val="20"/>
          <w:color w:val="auto"/>
        </w:rPr>
      </w:pPr>
      <w:r>
        <w:rPr>
          <w:rFonts w:ascii="Arial" w:cs="Arial" w:eastAsia="Arial" w:hAnsi="Arial"/>
          <w:sz w:val="15"/>
          <w:szCs w:val="15"/>
          <w:color w:val="auto"/>
        </w:rPr>
        <w:t>2</w:t>
      </w:r>
      <w:r>
        <w:rPr>
          <w:sz w:val="20"/>
          <w:szCs w:val="20"/>
          <w:color w:val="auto"/>
        </w:rPr>
        <w:tab/>
      </w:r>
      <w:r>
        <w:rPr>
          <w:sz w:val="1"/>
          <w:szCs w:val="1"/>
          <w:color w:val="auto"/>
        </w:rPr>
        <w:drawing>
          <wp:inline distT="0" distB="0" distL="0" distR="0">
            <wp:extent cx="139700" cy="139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a:extLst>
                        <a:ext uri="{28A0092B-C50C-407E-A947-70E740481C1C}"/>
                      </a:extLst>
                    </a:blip>
                    <a:srcRect/>
                    <a:stretch>
                      <a:fillRect/>
                    </a:stretch>
                  </pic:blipFill>
                  <pic:spPr bwMode="auto">
                    <a:xfrm>
                      <a:off x="0" y="0"/>
                      <a:ext cx="139700" cy="139700"/>
                    </a:xfrm>
                    <a:prstGeom prst="rect">
                      <a:avLst/>
                    </a:prstGeom>
                    <a:noFill/>
                    <a:ln>
                      <a:noFill/>
                    </a:ln>
                  </pic:spPr>
                </pic:pic>
              </a:graphicData>
            </a:graphic>
          </wp:inline>
        </w:drawing>
      </w:r>
      <w:r>
        <w:rPr>
          <w:rFonts w:ascii="Arial" w:cs="Arial" w:eastAsia="Arial" w:hAnsi="Arial"/>
          <w:sz w:val="15"/>
          <w:szCs w:val="15"/>
          <w:color w:val="auto"/>
        </w:rPr>
        <w:t xml:space="preserve">  L. CHUNYONG ET AL.</w:t>
      </w:r>
    </w:p>
    <w:p>
      <w:pPr>
        <w:spacing w:after="0" w:line="265" w:lineRule="exact"/>
        <w:rPr>
          <w:sz w:val="20"/>
          <w:szCs w:val="20"/>
          <w:color w:val="auto"/>
        </w:rPr>
      </w:pPr>
    </w:p>
    <w:p>
      <w:pPr>
        <w:jc w:val="both"/>
        <w:spacing w:after="0" w:line="291" w:lineRule="auto"/>
        <w:rPr>
          <w:sz w:val="20"/>
          <w:szCs w:val="20"/>
          <w:color w:val="auto"/>
        </w:rPr>
      </w:pPr>
      <w:r>
        <w:rPr>
          <w:rFonts w:ascii="Arial" w:cs="Arial" w:eastAsia="Arial" w:hAnsi="Arial"/>
          <w:sz w:val="20"/>
          <w:szCs w:val="20"/>
          <w:color w:val="auto"/>
        </w:rPr>
        <w:t>plasticity in the contralateral hemisphere does not promote the functional recovery of injured limbs in stroke survivors. Cortical activation surrounding ipsilateral lesions is associated with improved func-tional recovery, especially during the acute phase.</w:t>
      </w:r>
      <w:r>
        <w:rPr>
          <w:rFonts w:ascii="Arial" w:cs="Arial" w:eastAsia="Arial" w:hAnsi="Arial"/>
          <w:sz w:val="26"/>
          <w:szCs w:val="26"/>
          <w:color w:val="000080"/>
          <w:vertAlign w:val="superscript"/>
        </w:rPr>
        <w:t>6</w:t>
      </w:r>
    </w:p>
    <w:p>
      <w:pPr>
        <w:spacing w:after="0" w:line="4" w:lineRule="exact"/>
        <w:rPr>
          <w:sz w:val="20"/>
          <w:szCs w:val="20"/>
          <w:color w:val="auto"/>
        </w:rPr>
      </w:pPr>
    </w:p>
    <w:p>
      <w:pPr>
        <w:jc w:val="both"/>
        <w:ind w:firstLine="239"/>
        <w:spacing w:after="0" w:line="303" w:lineRule="auto"/>
        <w:rPr>
          <w:sz w:val="20"/>
          <w:szCs w:val="20"/>
          <w:color w:val="auto"/>
        </w:rPr>
      </w:pPr>
      <w:r>
        <w:rPr>
          <w:rFonts w:ascii="Arial" w:cs="Arial" w:eastAsia="Arial" w:hAnsi="Arial"/>
          <w:sz w:val="19"/>
          <w:szCs w:val="19"/>
          <w:color w:val="auto"/>
        </w:rPr>
        <w:t>Previous studies have found that cortical activation changes dynamically over time after brain injury.</w:t>
      </w:r>
      <w:r>
        <w:rPr>
          <w:rFonts w:ascii="Arial" w:cs="Arial" w:eastAsia="Arial" w:hAnsi="Arial"/>
          <w:sz w:val="25"/>
          <w:szCs w:val="25"/>
          <w:color w:val="000080"/>
          <w:vertAlign w:val="superscript"/>
        </w:rPr>
        <w:t>6</w:t>
      </w:r>
      <w:r>
        <w:rPr>
          <w:rFonts w:ascii="Arial" w:cs="Arial" w:eastAsia="Arial" w:hAnsi="Arial"/>
          <w:sz w:val="19"/>
          <w:szCs w:val="19"/>
          <w:color w:val="auto"/>
        </w:rPr>
        <w:t xml:space="preserve"> However, we also found limitations in these studies. First, these studies enrolled too few patients. Second, these studies did not strictly control the enrollment conditions such that some stroke patients were in the acute stage while other patients were in the subacute or chronic stages. Third, the task design in some studies was inconsistent. Finally, none of these stu-dies focused on the differences in reorganization between the dominant hemisphere and nondomi-nant hemisphere after cerebral stroke. Therefore, in our study, we strictly controlled the enrollment cri-teria, recruited more patients and used the same task throughout the entire process. Most importantly, we compared the differential characteristics between dominant hemisphere and nondominant hemisphere motor cortex compensation after stroke</w:t>
      </w: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Arial" w:cs="Arial" w:eastAsia="Arial" w:hAnsi="Arial"/>
          <w:sz w:val="22"/>
          <w:szCs w:val="22"/>
          <w:b w:val="1"/>
          <w:bCs w:val="1"/>
          <w:color w:val="10147E"/>
        </w:rPr>
        <w:t>2. Methods</w:t>
      </w:r>
    </w:p>
    <w:p>
      <w:pPr>
        <w:spacing w:after="0" w:line="179"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2.1. Participant inclusion criteria</w:t>
      </w:r>
    </w:p>
    <w:p>
      <w:pPr>
        <w:spacing w:after="0" w:line="174" w:lineRule="exact"/>
        <w:rPr>
          <w:sz w:val="20"/>
          <w:szCs w:val="20"/>
          <w:color w:val="auto"/>
        </w:rPr>
      </w:pPr>
    </w:p>
    <w:p>
      <w:pPr>
        <w:jc w:val="both"/>
        <w:spacing w:after="0" w:line="294" w:lineRule="auto"/>
        <w:rPr>
          <w:sz w:val="20"/>
          <w:szCs w:val="20"/>
          <w:color w:val="auto"/>
        </w:rPr>
      </w:pPr>
      <w:r>
        <w:rPr>
          <w:rFonts w:ascii="Arial" w:cs="Arial" w:eastAsia="Arial" w:hAnsi="Arial"/>
          <w:sz w:val="21"/>
          <w:szCs w:val="21"/>
          <w:color w:val="auto"/>
        </w:rPr>
        <w:t>In total, 23 patients who had their first-ever stroke were assessed for eligibility. The inclusion criteria were as follows: (1) acute phase (1 day-4 days) from the onset of ischemic stroke; (2) unilateral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838200</wp:posOffset>
            </wp:positionH>
            <wp:positionV relativeFrom="paragraph">
              <wp:posOffset>300990</wp:posOffset>
            </wp:positionV>
            <wp:extent cx="4572000" cy="239839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a:extLst>
                        <a:ext uri="{28A0092B-C50C-407E-A947-70E740481C1C}"/>
                      </a:extLst>
                    </a:blip>
                    <a:srcRect/>
                    <a:stretch>
                      <a:fillRect/>
                    </a:stretch>
                  </pic:blipFill>
                  <pic:spPr bwMode="auto">
                    <a:xfrm>
                      <a:off x="0" y="0"/>
                      <a:ext cx="4572000" cy="23983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97" w:lineRule="exact"/>
        <w:rPr>
          <w:sz w:val="20"/>
          <w:szCs w:val="20"/>
          <w:color w:val="auto"/>
        </w:rPr>
      </w:pPr>
    </w:p>
    <w:p>
      <w:pPr>
        <w:spacing w:after="0" w:line="298" w:lineRule="auto"/>
        <w:rPr>
          <w:sz w:val="20"/>
          <w:szCs w:val="20"/>
          <w:color w:val="auto"/>
        </w:rPr>
      </w:pPr>
      <w:r>
        <w:rPr>
          <w:rFonts w:ascii="Arial" w:cs="Arial" w:eastAsia="Arial" w:hAnsi="Arial"/>
          <w:sz w:val="20"/>
          <w:szCs w:val="20"/>
          <w:color w:val="auto"/>
        </w:rPr>
        <w:t>middle cerebral artery territory (including the basal ganglia, internal capsule, and corona radiata) lesions;</w:t>
      </w:r>
    </w:p>
    <w:p>
      <w:pPr>
        <w:jc w:val="both"/>
        <w:ind w:firstLine="1"/>
        <w:spacing w:after="0" w:line="292" w:lineRule="auto"/>
        <w:tabs>
          <w:tab w:leader="none" w:pos="323" w:val="left"/>
        </w:tabs>
        <w:numPr>
          <w:ilvl w:val="0"/>
          <w:numId w:val="1"/>
        </w:numPr>
        <w:rPr>
          <w:rFonts w:ascii="Arial" w:cs="Arial" w:eastAsia="Arial" w:hAnsi="Arial"/>
          <w:sz w:val="20"/>
          <w:szCs w:val="20"/>
          <w:color w:val="auto"/>
        </w:rPr>
      </w:pPr>
      <w:r>
        <w:rPr>
          <w:rFonts w:ascii="Arial" w:cs="Arial" w:eastAsia="Arial" w:hAnsi="Arial"/>
          <w:sz w:val="20"/>
          <w:szCs w:val="20"/>
          <w:color w:val="auto"/>
        </w:rPr>
        <w:t>mild-to-moderate motor deficits in the contrale-sional upper extremities, and Brunnstrom stage ran-ging from stage II to Stage V; (4) an age between 18 years and 80 years; and (5) right handedness as assessed by the Edinburgh Handedness Questionnaire. Subjects were excluded from the study if they had neurological disease, brain trauma disease history, personal or family history of seizure and psychological disorder, regularly used neuroac-tive substances, or performed professional work involving playing pianos and keyboards. Subjects were also excluded if they had other major organic diseases, a Mini-Mental State Examination score</w:t>
      </w:r>
    </w:p>
    <w:p>
      <w:pPr>
        <w:spacing w:after="0" w:line="2" w:lineRule="exact"/>
        <w:rPr>
          <w:sz w:val="20"/>
          <w:szCs w:val="20"/>
          <w:color w:val="auto"/>
        </w:rPr>
      </w:pPr>
    </w:p>
    <w:p>
      <w:pPr>
        <w:jc w:val="both"/>
        <w:spacing w:after="0" w:line="314" w:lineRule="auto"/>
        <w:rPr>
          <w:rFonts w:ascii="Arial" w:cs="Arial" w:eastAsia="Arial" w:hAnsi="Arial"/>
          <w:sz w:val="19"/>
          <w:szCs w:val="19"/>
          <w:color w:val="auto"/>
        </w:rPr>
      </w:pPr>
      <w:r>
        <w:rPr>
          <w:rFonts w:ascii="Arial" w:cs="Arial" w:eastAsia="Arial" w:hAnsi="Arial"/>
          <w:sz w:val="19"/>
          <w:szCs w:val="19"/>
          <w:color w:val="auto"/>
        </w:rPr>
        <w:t>&lt;27, a Hamilton Depression Scale score &lt;8, a Hamilton Anxiety Scale score &lt;6, or contraindica-tions for fMRI, or refused or failed to cooperate during examinations. Two patients had another stroke, and one patient died of heart disease during the follow-up period. Finally, 20 patients with ischemic stroke (10 males and 10 females) completed the longitudinal fMRI experiments, and their ima-ging data were included in the analysis. Additionally, 10 healthy subjects (5 males and 5 females) were included as an age-matched control group (</w:t>
      </w:r>
      <w:hyperlink w:anchor="page3">
        <w:r>
          <w:rPr>
            <w:rFonts w:ascii="Arial" w:cs="Arial" w:eastAsia="Arial" w:hAnsi="Arial"/>
            <w:sz w:val="19"/>
            <w:szCs w:val="19"/>
            <w:color w:val="000080"/>
          </w:rPr>
          <w:t>Figure 1</w:t>
        </w:r>
      </w:hyperlink>
      <w:r>
        <w:rPr>
          <w:rFonts w:ascii="Arial" w:cs="Arial" w:eastAsia="Arial" w:hAnsi="Arial"/>
          <w:sz w:val="19"/>
          <w:szCs w:val="19"/>
          <w:color w:val="auto"/>
        </w:rPr>
        <w:t>). The inclusion criteria were as follows:</w:t>
      </w:r>
    </w:p>
    <w:p>
      <w:pPr>
        <w:spacing w:after="0" w:line="215" w:lineRule="exact"/>
        <w:rPr>
          <w:sz w:val="20"/>
          <w:szCs w:val="20"/>
          <w:color w:val="auto"/>
        </w:rPr>
      </w:pPr>
    </w:p>
    <w:p>
      <w:pPr>
        <w:jc w:val="both"/>
        <w:ind w:firstLine="1"/>
        <w:spacing w:after="0" w:line="305" w:lineRule="auto"/>
        <w:tabs>
          <w:tab w:leader="none" w:pos="342" w:val="left"/>
        </w:tabs>
        <w:numPr>
          <w:ilvl w:val="0"/>
          <w:numId w:val="2"/>
        </w:numPr>
        <w:rPr>
          <w:rFonts w:ascii="Arial" w:cs="Arial" w:eastAsia="Arial" w:hAnsi="Arial"/>
          <w:sz w:val="20"/>
          <w:szCs w:val="20"/>
          <w:color w:val="auto"/>
        </w:rPr>
      </w:pPr>
      <w:r>
        <w:rPr>
          <w:rFonts w:ascii="Arial" w:cs="Arial" w:eastAsia="Arial" w:hAnsi="Arial"/>
          <w:sz w:val="20"/>
          <w:szCs w:val="20"/>
          <w:color w:val="auto"/>
        </w:rPr>
        <w:t>an age between 18 and 80 years, and (2) right-handed as assessed by the Edinburgh Handedness Questionnaire. Volunteers with any of the following situations were excluded: (1) previous history of central nervous system and nonnervous system</w:t>
      </w:r>
    </w:p>
    <w:p>
      <w:pPr>
        <w:spacing w:after="0" w:line="211" w:lineRule="exact"/>
        <w:rPr>
          <w:sz w:val="20"/>
          <w:szCs w:val="20"/>
          <w:color w:val="auto"/>
        </w:rPr>
      </w:pPr>
    </w:p>
    <w:p>
      <w:pPr>
        <w:sectPr>
          <w:pgSz w:w="11880" w:h="15840" w:orient="portrait"/>
          <w:cols w:equalWidth="0" w:num="2">
            <w:col w:w="4740" w:space="360"/>
            <w:col w:w="4740"/>
          </w:cols>
          <w:pgMar w:left="1020" w:top="472" w:right="1019" w:bottom="61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spacing w:after="0"/>
        <w:rPr>
          <w:sz w:val="20"/>
          <w:szCs w:val="20"/>
          <w:color w:val="auto"/>
        </w:rPr>
      </w:pPr>
      <w:r>
        <w:rPr>
          <w:rFonts w:ascii="Arial" w:cs="Arial" w:eastAsia="Arial" w:hAnsi="Arial"/>
          <w:sz w:val="16"/>
          <w:szCs w:val="16"/>
          <w:b w:val="1"/>
          <w:bCs w:val="1"/>
          <w:color w:val="10147E"/>
        </w:rPr>
        <w:t xml:space="preserve">Figure 1. </w:t>
      </w:r>
      <w:r>
        <w:rPr>
          <w:rFonts w:ascii="Arial" w:cs="Arial" w:eastAsia="Arial" w:hAnsi="Arial"/>
          <w:sz w:val="16"/>
          <w:szCs w:val="16"/>
          <w:color w:val="000000"/>
        </w:rPr>
        <w:t>Schematic diagram of the screening process.</w:t>
      </w:r>
    </w:p>
    <w:p>
      <w:pPr>
        <w:sectPr>
          <w:pgSz w:w="11880" w:h="15840" w:orient="portrait"/>
          <w:cols w:equalWidth="0" w:num="1">
            <w:col w:w="9840"/>
          </w:cols>
          <w:pgMar w:left="1020" w:top="472" w:right="1019" w:bottom="612" w:gutter="0" w:footer="0" w:header="0"/>
          <w:type w:val="continuous"/>
        </w:sectPr>
      </w:pPr>
    </w:p>
    <w:bookmarkStart w:id="3" w:name="page4"/>
    <w:bookmarkEnd w:id="3"/>
    <w:p>
      <w:pPr>
        <w:spacing w:after="0" w:line="200" w:lineRule="exact"/>
        <w:rPr>
          <w:sz w:val="20"/>
          <w:szCs w:val="20"/>
          <w:color w:val="auto"/>
        </w:rPr>
      </w:pPr>
    </w:p>
    <w:p>
      <w:pPr>
        <w:spacing w:after="0" w:line="268" w:lineRule="exact"/>
        <w:rPr>
          <w:sz w:val="20"/>
          <w:szCs w:val="20"/>
          <w:color w:val="auto"/>
        </w:rPr>
      </w:pPr>
    </w:p>
    <w:p>
      <w:pPr>
        <w:jc w:val="both"/>
        <w:spacing w:after="0" w:line="273" w:lineRule="auto"/>
        <w:rPr>
          <w:sz w:val="20"/>
          <w:szCs w:val="20"/>
          <w:color w:val="auto"/>
        </w:rPr>
      </w:pPr>
      <w:r>
        <w:rPr>
          <w:rFonts w:ascii="Arial" w:cs="Arial" w:eastAsia="Arial" w:hAnsi="Arial"/>
          <w:sz w:val="23"/>
          <w:szCs w:val="23"/>
          <w:color w:val="auto"/>
        </w:rPr>
        <w:t>diseases that affected the motor functions of extre-mities, (2) inability to cooperate during examina-tions, or (3) contraindications to MRI scanning. The experiments were conducted with the under-standing and written consent of each participant, and ethical approval was provided by the institu-tional review board.</w:t>
      </w:r>
    </w:p>
    <w:p>
      <w:pPr>
        <w:spacing w:after="0" w:line="200" w:lineRule="exact"/>
        <w:rPr>
          <w:sz w:val="20"/>
          <w:szCs w:val="20"/>
          <w:color w:val="auto"/>
        </w:rPr>
      </w:pPr>
    </w:p>
    <w:p>
      <w:pPr>
        <w:spacing w:after="0" w:line="300"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2.2. Study design</w:t>
      </w:r>
    </w:p>
    <w:p>
      <w:pPr>
        <w:spacing w:after="0" w:line="186" w:lineRule="exact"/>
        <w:rPr>
          <w:sz w:val="20"/>
          <w:szCs w:val="20"/>
          <w:color w:val="auto"/>
        </w:rPr>
      </w:pPr>
    </w:p>
    <w:p>
      <w:pPr>
        <w:jc w:val="both"/>
        <w:spacing w:after="0" w:line="278" w:lineRule="auto"/>
        <w:rPr>
          <w:rFonts w:ascii="Arial" w:cs="Arial" w:eastAsia="Arial" w:hAnsi="Arial"/>
          <w:sz w:val="22"/>
          <w:szCs w:val="22"/>
          <w:color w:val="auto"/>
        </w:rPr>
      </w:pPr>
      <w:r>
        <w:rPr>
          <w:rFonts w:ascii="Arial" w:cs="Arial" w:eastAsia="Arial" w:hAnsi="Arial"/>
          <w:sz w:val="22"/>
          <w:szCs w:val="22"/>
          <w:color w:val="auto"/>
        </w:rPr>
        <w:t>The patients were divided into the following two groups based on their cerebral infarction lesion: group A was the left hemisphere infarction group, and group B was the right hemisphere infarction group. All patients were assessed in three different sessions (T1, 3 days after the onset of the complaint; T2, 30 days after the onset of the complaint; and T3, 90 days after the onset of the complaint) with both clinical assessments and fMRI scans (</w:t>
      </w:r>
      <w:hyperlink w:anchor="page4">
        <w:r>
          <w:rPr>
            <w:rFonts w:ascii="Arial" w:cs="Arial" w:eastAsia="Arial" w:hAnsi="Arial"/>
            <w:sz w:val="22"/>
            <w:szCs w:val="22"/>
            <w:color w:val="000080"/>
          </w:rPr>
          <w:t>Figure 2</w:t>
        </w:r>
      </w:hyperlink>
      <w:r>
        <w:rPr>
          <w:rFonts w:ascii="Arial" w:cs="Arial" w:eastAsia="Arial" w:hAnsi="Arial"/>
          <w:sz w:val="22"/>
          <w:szCs w:val="22"/>
          <w:color w:val="auto"/>
        </w:rPr>
        <w:t>). The clin-ical assessment included a dynamometer and finger-tapping test to evaluate the power of grip-ping and dexterity of each upper extremity. The patients were also evaluated with the upper extremity Fugl-Meyer-Assessment (UE-FMA) in three different sessions. The fMRI data were obtained during a positive finger flexion–exten-sion task.</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1800" w:type="dxa"/>
        <w:tblCellMar>
          <w:top w:w="0" w:type="dxa"/>
          <w:left w:w="0" w:type="dxa"/>
          <w:bottom w:w="0" w:type="dxa"/>
          <w:right w:w="0" w:type="dxa"/>
        </w:tblCellMar>
      </w:tblPr>
      <w:tr>
        <w:trPr>
          <w:trHeight w:val="178"/>
        </w:trPr>
        <w:tc>
          <w:tcPr>
            <w:tcW w:w="2600" w:type="dxa"/>
            <w:vAlign w:val="bottom"/>
          </w:tcPr>
          <w:p>
            <w:pPr>
              <w:spacing w:after="0"/>
              <w:rPr>
                <w:sz w:val="20"/>
                <w:szCs w:val="20"/>
                <w:color w:val="auto"/>
              </w:rPr>
            </w:pPr>
            <w:r>
              <w:rPr>
                <w:rFonts w:ascii="Arial" w:cs="Arial" w:eastAsia="Arial" w:hAnsi="Arial"/>
                <w:sz w:val="15"/>
                <w:szCs w:val="15"/>
                <w:color w:val="auto"/>
                <w:w w:val="96"/>
              </w:rPr>
              <w:t>TOPICS IN STROKE REHABILITATION</w:t>
            </w:r>
          </w:p>
        </w:tc>
        <w:tc>
          <w:tcPr>
            <w:tcW w:w="340" w:type="dxa"/>
            <w:vAlign w:val="bottom"/>
          </w:tcPr>
          <w:p>
            <w:pPr>
              <w:jc w:val="right"/>
              <w:spacing w:after="0"/>
              <w:rPr>
                <w:sz w:val="20"/>
                <w:szCs w:val="20"/>
                <w:color w:val="auto"/>
              </w:rPr>
            </w:pPr>
            <w:r>
              <w:rPr>
                <w:rFonts w:ascii="Arial" w:cs="Arial" w:eastAsia="Arial" w:hAnsi="Arial"/>
                <w:sz w:val="15"/>
                <w:szCs w:val="15"/>
                <w:color w:val="auto"/>
              </w:rPr>
              <w:t>3</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2722245</wp:posOffset>
            </wp:positionH>
            <wp:positionV relativeFrom="paragraph">
              <wp:posOffset>-123190</wp:posOffset>
            </wp:positionV>
            <wp:extent cx="139700" cy="13970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extLst>
                    </a:blip>
                    <a:srcRect/>
                    <a:stretch>
                      <a:fillRect/>
                    </a:stretch>
                  </pic:blipFill>
                  <pic:spPr bwMode="auto">
                    <a:xfrm>
                      <a:off x="0" y="0"/>
                      <a:ext cx="139700" cy="139700"/>
                    </a:xfrm>
                    <a:prstGeom prst="rect">
                      <a:avLst/>
                    </a:prstGeom>
                    <a:noFill/>
                  </pic:spPr>
                </pic:pic>
              </a:graphicData>
            </a:graphic>
          </wp:anchor>
        </w:drawing>
      </w:r>
    </w:p>
    <w:p>
      <w:pPr>
        <w:spacing w:after="0" w:line="267"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2.3. Behavioral assessment</w:t>
      </w:r>
    </w:p>
    <w:p>
      <w:pPr>
        <w:spacing w:after="0" w:line="175" w:lineRule="exact"/>
        <w:rPr>
          <w:sz w:val="20"/>
          <w:szCs w:val="20"/>
          <w:color w:val="auto"/>
        </w:rPr>
      </w:pPr>
    </w:p>
    <w:p>
      <w:pPr>
        <w:jc w:val="both"/>
        <w:spacing w:after="0" w:line="274" w:lineRule="auto"/>
        <w:rPr>
          <w:sz w:val="20"/>
          <w:szCs w:val="20"/>
          <w:color w:val="auto"/>
        </w:rPr>
      </w:pPr>
      <w:r>
        <w:rPr>
          <w:rFonts w:ascii="Arial" w:cs="Arial" w:eastAsia="Arial" w:hAnsi="Arial"/>
          <w:sz w:val="21"/>
          <w:szCs w:val="21"/>
          <w:color w:val="auto"/>
        </w:rPr>
        <w:t>The power of gripping and dexterity of the upper extremities of each subject were assessed using grip strength and finger-tapping tests, respectively. The finger-tapping test measured the number of times the subjects were able to tap a computer key within 10 seconds using their index fingers,</w:t>
      </w:r>
      <w:r>
        <w:rPr>
          <w:rFonts w:ascii="Arial" w:cs="Arial" w:eastAsia="Arial" w:hAnsi="Arial"/>
          <w:sz w:val="27"/>
          <w:szCs w:val="27"/>
          <w:color w:val="000080"/>
          <w:vertAlign w:val="superscript"/>
        </w:rPr>
        <w:t>7</w:t>
      </w:r>
      <w:r>
        <w:rPr>
          <w:rFonts w:ascii="Arial" w:cs="Arial" w:eastAsia="Arial" w:hAnsi="Arial"/>
          <w:sz w:val="21"/>
          <w:szCs w:val="21"/>
          <w:color w:val="auto"/>
        </w:rPr>
        <w:t xml:space="preserve"> while a hand dynamometer was used to measure the maximal grip strength of the hands in units of kg.</w:t>
      </w:r>
    </w:p>
    <w:p>
      <w:pPr>
        <w:spacing w:after="0" w:line="391" w:lineRule="exact"/>
        <w:rPr>
          <w:sz w:val="20"/>
          <w:szCs w:val="20"/>
          <w:color w:val="auto"/>
        </w:rPr>
      </w:pPr>
    </w:p>
    <w:p>
      <w:pPr>
        <w:spacing w:after="0"/>
        <w:rPr>
          <w:sz w:val="20"/>
          <w:szCs w:val="20"/>
          <w:color w:val="auto"/>
        </w:rPr>
      </w:pPr>
      <w:r>
        <w:rPr>
          <w:rFonts w:ascii="Arial" w:cs="Arial" w:eastAsia="Arial" w:hAnsi="Arial"/>
          <w:sz w:val="19"/>
          <w:szCs w:val="19"/>
          <w:b w:val="1"/>
          <w:bCs w:val="1"/>
          <w:i w:val="1"/>
          <w:iCs w:val="1"/>
          <w:color w:val="10147E"/>
        </w:rPr>
        <w:t>2.4. Task design and image acquisition during fMRI</w:t>
      </w:r>
    </w:p>
    <w:p>
      <w:pPr>
        <w:spacing w:after="0" w:line="198" w:lineRule="exact"/>
        <w:rPr>
          <w:sz w:val="20"/>
          <w:szCs w:val="20"/>
          <w:color w:val="auto"/>
        </w:rPr>
      </w:pPr>
    </w:p>
    <w:p>
      <w:pPr>
        <w:jc w:val="both"/>
        <w:spacing w:after="0" w:line="279" w:lineRule="auto"/>
        <w:rPr>
          <w:sz w:val="20"/>
          <w:szCs w:val="20"/>
          <w:color w:val="auto"/>
        </w:rPr>
      </w:pPr>
      <w:r>
        <w:rPr>
          <w:rFonts w:ascii="Arial" w:cs="Arial" w:eastAsia="Arial" w:hAnsi="Arial"/>
          <w:sz w:val="21"/>
          <w:szCs w:val="21"/>
          <w:color w:val="auto"/>
        </w:rPr>
        <w:t>The patients were examined during three fMRI sessions while performing an active finger flexion– extension task that required the patients to clench the affected hand into a fist without the help of others; fMRI sessions were performed during each of the follow-up visits within a three-month period.</w:t>
      </w:r>
    </w:p>
    <w:p>
      <w:pPr>
        <w:spacing w:after="0" w:line="6" w:lineRule="exact"/>
        <w:rPr>
          <w:sz w:val="20"/>
          <w:szCs w:val="20"/>
          <w:color w:val="auto"/>
        </w:rPr>
      </w:pPr>
    </w:p>
    <w:p>
      <w:pPr>
        <w:jc w:val="both"/>
        <w:ind w:firstLine="239"/>
        <w:spacing w:after="0" w:line="297" w:lineRule="auto"/>
        <w:rPr>
          <w:sz w:val="20"/>
          <w:szCs w:val="20"/>
          <w:color w:val="auto"/>
        </w:rPr>
      </w:pPr>
      <w:r>
        <w:rPr>
          <w:rFonts w:ascii="Arial" w:cs="Arial" w:eastAsia="Arial" w:hAnsi="Arial"/>
          <w:sz w:val="20"/>
          <w:szCs w:val="20"/>
          <w:color w:val="auto"/>
        </w:rPr>
        <w:t>A block design was used in this fMRI trial. Following a 20-s rest period (one rest block), active movements of the affected hand were performed for 20 seconds (one movement block). In total, five blocks of active movement and five blocks of rest were performed during a single scanning session. The active movements were performed at 1 Hz following a visual system controlled by a computer system. The subjects were instructed to close their eyes throughout the rest period. Twenty healthy controls were scanned in only one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-2473325</wp:posOffset>
            </wp:positionH>
            <wp:positionV relativeFrom="paragraph">
              <wp:posOffset>279400</wp:posOffset>
            </wp:positionV>
            <wp:extent cx="4719320" cy="26955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a:extLst>
                        <a:ext uri="{28A0092B-C50C-407E-A947-70E740481C1C}"/>
                      </a:extLst>
                    </a:blip>
                    <a:srcRect/>
                    <a:stretch>
                      <a:fillRect/>
                    </a:stretch>
                  </pic:blipFill>
                  <pic:spPr bwMode="auto">
                    <a:xfrm>
                      <a:off x="0" y="0"/>
                      <a:ext cx="4719320" cy="2695575"/>
                    </a:xfrm>
                    <a:prstGeom prst="rect">
                      <a:avLst/>
                    </a:prstGeom>
                    <a:noFill/>
                  </pic:spPr>
                </pic:pic>
              </a:graphicData>
            </a:graphic>
          </wp:anchor>
        </w:drawing>
      </w:r>
    </w:p>
    <w:p>
      <w:pPr>
        <w:spacing w:after="0" w:line="200" w:lineRule="exact"/>
        <w:rPr>
          <w:sz w:val="20"/>
          <w:szCs w:val="20"/>
          <w:color w:val="auto"/>
        </w:rPr>
      </w:pPr>
    </w:p>
    <w:p>
      <w:pPr>
        <w:sectPr>
          <w:pgSz w:w="11880" w:h="15840" w:orient="portrait"/>
          <w:cols w:equalWidth="0" w:num="2">
            <w:col w:w="4740" w:space="360"/>
            <w:col w:w="4740"/>
          </w:cols>
          <w:pgMar w:left="1020" w:top="520" w:right="1019" w:bottom="89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spacing w:after="0"/>
        <w:rPr>
          <w:sz w:val="20"/>
          <w:szCs w:val="20"/>
          <w:color w:val="auto"/>
        </w:rPr>
      </w:pPr>
      <w:r>
        <w:rPr>
          <w:rFonts w:ascii="Arial" w:cs="Arial" w:eastAsia="Arial" w:hAnsi="Arial"/>
          <w:sz w:val="16"/>
          <w:szCs w:val="16"/>
          <w:b w:val="1"/>
          <w:bCs w:val="1"/>
          <w:color w:val="10147E"/>
        </w:rPr>
        <w:t xml:space="preserve">Figure 2. </w:t>
      </w:r>
      <w:r>
        <w:rPr>
          <w:rFonts w:ascii="Arial" w:cs="Arial" w:eastAsia="Arial" w:hAnsi="Arial"/>
          <w:sz w:val="16"/>
          <w:szCs w:val="16"/>
          <w:color w:val="000000"/>
        </w:rPr>
        <w:t>Flow chart of the experimental design.</w:t>
      </w:r>
    </w:p>
    <w:p>
      <w:pPr>
        <w:sectPr>
          <w:pgSz w:w="11880" w:h="15840" w:orient="portrait"/>
          <w:cols w:equalWidth="0" w:num="1">
            <w:col w:w="9840"/>
          </w:cols>
          <w:pgMar w:left="1020" w:top="520" w:right="1019" w:bottom="894" w:gutter="0" w:footer="0" w:header="0"/>
          <w:type w:val="continuous"/>
        </w:sectPr>
      </w:pPr>
    </w:p>
    <w:bookmarkStart w:id="4" w:name="page5"/>
    <w:bookmarkEnd w:id="4"/>
    <w:p>
      <w:pPr>
        <w:spacing w:after="0"/>
        <w:tabs>
          <w:tab w:leader="none" w:pos="207" w:val="left"/>
        </w:tabs>
        <w:rPr>
          <w:sz w:val="20"/>
          <w:szCs w:val="20"/>
          <w:color w:val="auto"/>
        </w:rPr>
      </w:pPr>
      <w:r>
        <w:rPr>
          <w:rFonts w:ascii="Arial" w:cs="Arial" w:eastAsia="Arial" w:hAnsi="Arial"/>
          <w:sz w:val="15"/>
          <w:szCs w:val="15"/>
          <w:color w:val="auto"/>
        </w:rPr>
        <w:t>4</w:t>
      </w:r>
      <w:r>
        <w:rPr>
          <w:sz w:val="20"/>
          <w:szCs w:val="20"/>
          <w:color w:val="auto"/>
        </w:rPr>
        <w:tab/>
      </w:r>
      <w:r>
        <w:rPr>
          <w:sz w:val="1"/>
          <w:szCs w:val="1"/>
          <w:color w:val="auto"/>
        </w:rPr>
        <w:drawing>
          <wp:inline distT="0" distB="0" distL="0" distR="0">
            <wp:extent cx="139700" cy="139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extLst>
                        <a:ext uri="{28A0092B-C50C-407E-A947-70E740481C1C}"/>
                      </a:extLst>
                    </a:blip>
                    <a:srcRect/>
                    <a:stretch>
                      <a:fillRect/>
                    </a:stretch>
                  </pic:blipFill>
                  <pic:spPr bwMode="auto">
                    <a:xfrm>
                      <a:off x="0" y="0"/>
                      <a:ext cx="139700" cy="139700"/>
                    </a:xfrm>
                    <a:prstGeom prst="rect">
                      <a:avLst/>
                    </a:prstGeom>
                    <a:noFill/>
                    <a:ln>
                      <a:noFill/>
                    </a:ln>
                  </pic:spPr>
                </pic:pic>
              </a:graphicData>
            </a:graphic>
          </wp:inline>
        </w:drawing>
      </w:r>
      <w:r>
        <w:rPr>
          <w:rFonts w:ascii="Arial" w:cs="Arial" w:eastAsia="Arial" w:hAnsi="Arial"/>
          <w:sz w:val="15"/>
          <w:szCs w:val="15"/>
          <w:color w:val="auto"/>
        </w:rPr>
        <w:t xml:space="preserve">  L. CHUNYONG ET AL.</w:t>
      </w:r>
    </w:p>
    <w:p>
      <w:pPr>
        <w:spacing w:after="0" w:line="265" w:lineRule="exact"/>
        <w:rPr>
          <w:sz w:val="20"/>
          <w:szCs w:val="20"/>
          <w:color w:val="auto"/>
        </w:rPr>
      </w:pPr>
    </w:p>
    <w:p>
      <w:pPr>
        <w:jc w:val="both"/>
        <w:spacing w:after="0" w:line="280" w:lineRule="auto"/>
        <w:rPr>
          <w:sz w:val="20"/>
          <w:szCs w:val="20"/>
          <w:color w:val="auto"/>
        </w:rPr>
      </w:pPr>
      <w:r>
        <w:rPr>
          <w:rFonts w:ascii="Arial" w:cs="Arial" w:eastAsia="Arial" w:hAnsi="Arial"/>
          <w:sz w:val="21"/>
          <w:szCs w:val="21"/>
          <w:color w:val="auto"/>
        </w:rPr>
        <w:t>session while performing the same task with their left hands and right hands. No mirror movements (associated contralateral hand movements) or syn-kinesia (associated ipsilateral shoulder or elbow movements) were observed in any patient.</w:t>
      </w:r>
    </w:p>
    <w:p>
      <w:pPr>
        <w:spacing w:after="0" w:line="3" w:lineRule="exact"/>
        <w:rPr>
          <w:sz w:val="20"/>
          <w:szCs w:val="20"/>
          <w:color w:val="auto"/>
        </w:rPr>
      </w:pPr>
    </w:p>
    <w:p>
      <w:pPr>
        <w:jc w:val="both"/>
        <w:ind w:firstLine="239"/>
        <w:spacing w:after="0" w:line="281" w:lineRule="auto"/>
        <w:rPr>
          <w:sz w:val="20"/>
          <w:szCs w:val="20"/>
          <w:color w:val="auto"/>
        </w:rPr>
      </w:pPr>
      <w:r>
        <w:rPr>
          <w:rFonts w:ascii="Arial" w:cs="Arial" w:eastAsia="Arial" w:hAnsi="Arial"/>
          <w:sz w:val="21"/>
          <w:szCs w:val="21"/>
          <w:color w:val="auto"/>
        </w:rPr>
        <w:t>A Siemens Sonata 1.5 T superconductive mag-netic resonance imaging system (Siemens Vision, Erlangen, Germany) was used with a gradient field of 40 mT/m and a slew rate of 220 mT/m/ms. Blood oxygen level-dependent (BOLD) signals were col-lected from the subjects during both the movement and rest phases using an echo planar imaging (EPI) sequence with the following parameters: repetition time (TR): 2000 ms; echo time (TE): 49 ms; field of view (FOV): 210 mm; matrix: 64 × 64; slice thick-ness: 4 mm; slice gap: 1 mm; and number of slices: 28.</w:t>
      </w: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2.5. Statistical analyses</w:t>
      </w:r>
    </w:p>
    <w:p>
      <w:pPr>
        <w:spacing w:after="0" w:line="195"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2.5.1 Statistical analyses of motor behaviors</w:t>
      </w:r>
    </w:p>
    <w:p>
      <w:pPr>
        <w:spacing w:after="0" w:line="18" w:lineRule="exact"/>
        <w:rPr>
          <w:sz w:val="20"/>
          <w:szCs w:val="20"/>
          <w:color w:val="auto"/>
        </w:rPr>
      </w:pPr>
    </w:p>
    <w:p>
      <w:pPr>
        <w:jc w:val="both"/>
        <w:spacing w:after="0" w:line="311" w:lineRule="auto"/>
        <w:rPr>
          <w:sz w:val="20"/>
          <w:szCs w:val="20"/>
          <w:color w:val="auto"/>
        </w:rPr>
      </w:pPr>
      <w:r>
        <w:rPr>
          <w:rFonts w:ascii="Arial" w:cs="Arial" w:eastAsia="Arial" w:hAnsi="Arial"/>
          <w:sz w:val="19"/>
          <w:szCs w:val="19"/>
          <w:color w:val="auto"/>
        </w:rPr>
        <w:t>IBM SPSS Statistics 23.0 software was used for the statistical analyses. The data obtained from the beha-vioral tests were statistically described as the means</w:t>
      </w:r>
    </w:p>
    <w:p>
      <w:pPr>
        <w:spacing w:after="0" w:line="2" w:lineRule="exact"/>
        <w:rPr>
          <w:sz w:val="20"/>
          <w:szCs w:val="20"/>
          <w:color w:val="auto"/>
        </w:rPr>
      </w:pPr>
    </w:p>
    <w:p>
      <w:pPr>
        <w:jc w:val="both"/>
        <w:spacing w:after="0" w:line="297" w:lineRule="auto"/>
        <w:tabs>
          <w:tab w:leader="none" w:pos="179" w:val="left"/>
        </w:tabs>
        <w:numPr>
          <w:ilvl w:val="0"/>
          <w:numId w:val="3"/>
        </w:numPr>
        <w:rPr>
          <w:rFonts w:ascii="Arial" w:cs="Arial" w:eastAsia="Arial" w:hAnsi="Arial"/>
          <w:sz w:val="20"/>
          <w:szCs w:val="20"/>
          <w:color w:val="auto"/>
        </w:rPr>
      </w:pPr>
      <w:r>
        <w:rPr>
          <w:rFonts w:ascii="Arial" w:cs="Arial" w:eastAsia="Arial" w:hAnsi="Arial"/>
          <w:sz w:val="20"/>
          <w:szCs w:val="20"/>
          <w:color w:val="auto"/>
        </w:rPr>
        <w:t>standard deviations. The normality of the distribu-tion and equality of variance were checked using the Shapiro–Wilk method and Levene’s test before the statistical inference testing. The statistics comparing the behavioral results between the groups were tested by using two-sample t-tests, and the change statistics within the same group were tested by using a repeated-measures ANOVA. Tukey’s test was used for the pairwise comparisons after the ANOVA. p &lt; .05 was considered indicative of a statistically significant difference.</w:t>
      </w:r>
    </w:p>
    <w:p>
      <w:pPr>
        <w:spacing w:after="0" w:line="342"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2.5.2 Statistical analyses of fMRI images</w:t>
      </w:r>
    </w:p>
    <w:p>
      <w:pPr>
        <w:spacing w:after="0" w:line="19" w:lineRule="exact"/>
        <w:rPr>
          <w:sz w:val="20"/>
          <w:szCs w:val="20"/>
          <w:color w:val="auto"/>
        </w:rPr>
      </w:pPr>
    </w:p>
    <w:p>
      <w:pPr>
        <w:jc w:val="both"/>
        <w:spacing w:after="0" w:line="283" w:lineRule="auto"/>
        <w:rPr>
          <w:sz w:val="20"/>
          <w:szCs w:val="20"/>
          <w:color w:val="auto"/>
        </w:rPr>
      </w:pPr>
      <w:r>
        <w:rPr>
          <w:rFonts w:ascii="Arial" w:cs="Arial" w:eastAsia="Arial" w:hAnsi="Arial"/>
          <w:sz w:val="21"/>
          <w:szCs w:val="21"/>
          <w:color w:val="auto"/>
        </w:rPr>
        <w:t>Statistical parametric mapping 8 (SPM8) soft-ware under the MATLAB platform was used to analyze the fMRI data of the subjects. For the individual analyses, the first 10 images of each sequence were removed to exclude any influence of the increase in the intensity of the magnetic field. Preprocessing included adjustments for head movements, spatial normalization, and spa-tial smoothing. The EPI image for each temporal sequence was rearranged behind the first</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97" w:lineRule="exact"/>
        <w:rPr>
          <w:sz w:val="20"/>
          <w:szCs w:val="20"/>
          <w:color w:val="auto"/>
        </w:rPr>
      </w:pPr>
    </w:p>
    <w:p>
      <w:pPr>
        <w:jc w:val="both"/>
        <w:spacing w:after="0" w:line="280" w:lineRule="auto"/>
        <w:rPr>
          <w:sz w:val="20"/>
          <w:szCs w:val="20"/>
          <w:color w:val="auto"/>
        </w:rPr>
      </w:pPr>
      <w:r>
        <w:rPr>
          <w:rFonts w:ascii="Arial" w:cs="Arial" w:eastAsia="Arial" w:hAnsi="Arial"/>
          <w:sz w:val="21"/>
          <w:szCs w:val="21"/>
          <w:color w:val="auto"/>
        </w:rPr>
        <w:t xml:space="preserve">functional image to exclude any residual head movement. Subsequently, the functional images of each individual and each temporal sequence were rearranged with the first functional image of a standard model, and the size was readjusted to standardize the anatomical space for the group analyses. This standard anatomical space was presented as a MiNi coordinate graph. Finally, the images underwent Gaussian smoothing. Based on the testing tasks, the data from each subject were analyzed by deconvolution and a multiple linear regression of the F value of each voxel. The F values are presented as differ-ent colors and were projected onto the three-dimensional structure images to generate a statistical parameter map with thresholds of </w:t>
      </w:r>
      <w:r>
        <w:rPr>
          <w:rFonts w:ascii="Arial" w:cs="Arial" w:eastAsia="Arial" w:hAnsi="Arial"/>
          <w:sz w:val="21"/>
          <w:szCs w:val="21"/>
          <w:i w:val="1"/>
          <w:iCs w:val="1"/>
          <w:color w:val="auto"/>
        </w:rPr>
        <w:t xml:space="preserve">p </w:t>
      </w:r>
      <w:r>
        <w:rPr>
          <w:rFonts w:ascii="Arial" w:cs="Arial" w:eastAsia="Arial" w:hAnsi="Arial"/>
          <w:sz w:val="21"/>
          <w:szCs w:val="21"/>
          <w:color w:val="auto"/>
        </w:rPr>
        <w:t>&lt; .05 (familywise error; FWR) and Ke≥10.</w:t>
      </w:r>
      <w:r>
        <w:rPr>
          <w:rFonts w:ascii="Arial" w:cs="Arial" w:eastAsia="Arial" w:hAnsi="Arial"/>
          <w:sz w:val="21"/>
          <w:szCs w:val="21"/>
          <w:i w:val="1"/>
          <w:iCs w:val="1"/>
          <w:color w:val="auto"/>
        </w:rPr>
        <w:t xml:space="preserve"> </w:t>
      </w:r>
      <w:r>
        <w:rPr>
          <w:rFonts w:ascii="Arial" w:cs="Arial" w:eastAsia="Arial" w:hAnsi="Arial"/>
          <w:sz w:val="21"/>
          <w:szCs w:val="21"/>
          <w:color w:val="auto"/>
        </w:rPr>
        <w:t xml:space="preserve">Single-sample </w:t>
      </w:r>
      <w:r>
        <w:rPr>
          <w:rFonts w:ascii="Arial" w:cs="Arial" w:eastAsia="Arial" w:hAnsi="Arial"/>
          <w:sz w:val="21"/>
          <w:szCs w:val="21"/>
          <w:i w:val="1"/>
          <w:iCs w:val="1"/>
          <w:color w:val="auto"/>
        </w:rPr>
        <w:t>t</w:t>
      </w:r>
      <w:r>
        <w:rPr>
          <w:rFonts w:ascii="Arial" w:cs="Arial" w:eastAsia="Arial" w:hAnsi="Arial"/>
          <w:sz w:val="21"/>
          <w:szCs w:val="21"/>
          <w:color w:val="auto"/>
        </w:rPr>
        <w:t xml:space="preserve">-tests were used in the intragroup analysis to obtain the activation map in each group for all testing tasks using the same thresh-olds of </w:t>
      </w:r>
      <w:r>
        <w:rPr>
          <w:rFonts w:ascii="Arial" w:cs="Arial" w:eastAsia="Arial" w:hAnsi="Arial"/>
          <w:sz w:val="21"/>
          <w:szCs w:val="21"/>
          <w:i w:val="1"/>
          <w:iCs w:val="1"/>
          <w:color w:val="auto"/>
        </w:rPr>
        <w:t>p</w:t>
      </w:r>
      <w:r>
        <w:rPr>
          <w:rFonts w:ascii="Arial" w:cs="Arial" w:eastAsia="Arial" w:hAnsi="Arial"/>
          <w:sz w:val="21"/>
          <w:szCs w:val="21"/>
          <w:color w:val="auto"/>
        </w:rPr>
        <w:t xml:space="preserve"> &lt; .05 (FWR) and Ke ≥ 10.</w:t>
      </w: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2.6. STROBE Guidelines</w:t>
      </w:r>
    </w:p>
    <w:p>
      <w:pPr>
        <w:spacing w:after="0" w:line="175" w:lineRule="exact"/>
        <w:rPr>
          <w:sz w:val="20"/>
          <w:szCs w:val="20"/>
          <w:color w:val="auto"/>
        </w:rPr>
      </w:pPr>
    </w:p>
    <w:p>
      <w:pPr>
        <w:jc w:val="both"/>
        <w:spacing w:after="0" w:line="266" w:lineRule="auto"/>
        <w:rPr>
          <w:sz w:val="20"/>
          <w:szCs w:val="20"/>
          <w:color w:val="auto"/>
        </w:rPr>
      </w:pPr>
      <w:r>
        <w:rPr>
          <w:rFonts w:ascii="Arial" w:cs="Arial" w:eastAsia="Arial" w:hAnsi="Arial"/>
          <w:sz w:val="23"/>
          <w:szCs w:val="23"/>
          <w:color w:val="auto"/>
        </w:rPr>
        <w:t>This manuscript conforms to the STROBE guidelines (“Strengthening the Reporting of Observational Studies in Epidemiology”).</w:t>
      </w:r>
    </w:p>
    <w:p>
      <w:pPr>
        <w:spacing w:after="0" w:line="200" w:lineRule="exact"/>
        <w:rPr>
          <w:sz w:val="20"/>
          <w:szCs w:val="20"/>
          <w:color w:val="auto"/>
        </w:rPr>
      </w:pPr>
    </w:p>
    <w:p>
      <w:pPr>
        <w:spacing w:after="0" w:line="288" w:lineRule="exact"/>
        <w:rPr>
          <w:sz w:val="20"/>
          <w:szCs w:val="20"/>
          <w:color w:val="auto"/>
        </w:rPr>
      </w:pPr>
    </w:p>
    <w:p>
      <w:pPr>
        <w:spacing w:after="0"/>
        <w:rPr>
          <w:sz w:val="20"/>
          <w:szCs w:val="20"/>
          <w:color w:val="auto"/>
        </w:rPr>
      </w:pPr>
      <w:r>
        <w:rPr>
          <w:rFonts w:ascii="Arial" w:cs="Arial" w:eastAsia="Arial" w:hAnsi="Arial"/>
          <w:sz w:val="22"/>
          <w:szCs w:val="22"/>
          <w:b w:val="1"/>
          <w:bCs w:val="1"/>
          <w:color w:val="10147E"/>
        </w:rPr>
        <w:t>3. Results</w:t>
      </w:r>
    </w:p>
    <w:p>
      <w:pPr>
        <w:spacing w:after="0" w:line="179"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3.1. Clinical statistics</w:t>
      </w:r>
    </w:p>
    <w:p>
      <w:pPr>
        <w:spacing w:after="0" w:line="174" w:lineRule="exact"/>
        <w:rPr>
          <w:sz w:val="20"/>
          <w:szCs w:val="20"/>
          <w:color w:val="auto"/>
        </w:rPr>
      </w:pPr>
    </w:p>
    <w:p>
      <w:pPr>
        <w:jc w:val="both"/>
        <w:spacing w:after="0" w:line="262" w:lineRule="auto"/>
        <w:rPr>
          <w:rFonts w:ascii="Arial" w:cs="Arial" w:eastAsia="Arial" w:hAnsi="Arial"/>
          <w:sz w:val="23"/>
          <w:szCs w:val="23"/>
          <w:color w:val="auto"/>
        </w:rPr>
      </w:pPr>
      <w:r>
        <w:rPr>
          <w:rFonts w:ascii="Arial" w:cs="Arial" w:eastAsia="Arial" w:hAnsi="Arial"/>
          <w:sz w:val="23"/>
          <w:szCs w:val="23"/>
          <w:color w:val="auto"/>
        </w:rPr>
        <w:t>We found no significant differences in age, days poststroke, or lesion volume between the left hemi-sphere stroke group and the right hemisphere stroke group (</w:t>
      </w:r>
      <w:hyperlink w:anchor="page6">
        <w:r>
          <w:rPr>
            <w:rFonts w:ascii="Arial" w:cs="Arial" w:eastAsia="Arial" w:hAnsi="Arial"/>
            <w:sz w:val="23"/>
            <w:szCs w:val="23"/>
            <w:color w:val="000080"/>
          </w:rPr>
          <w:t>Table 1</w:t>
        </w:r>
      </w:hyperlink>
      <w:r>
        <w:rPr>
          <w:rFonts w:ascii="Arial" w:cs="Arial" w:eastAsia="Arial" w:hAnsi="Arial"/>
          <w:sz w:val="23"/>
          <w:szCs w:val="23"/>
          <w:color w:val="auto"/>
        </w:rPr>
        <w:t>).</w:t>
      </w:r>
    </w:p>
    <w:p>
      <w:pPr>
        <w:spacing w:after="0" w:line="381"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3.1.1 Finger-tapping test</w:t>
      </w:r>
    </w:p>
    <w:p>
      <w:pPr>
        <w:spacing w:after="0" w:line="19" w:lineRule="exact"/>
        <w:rPr>
          <w:sz w:val="20"/>
          <w:szCs w:val="20"/>
          <w:color w:val="auto"/>
        </w:rPr>
      </w:pPr>
    </w:p>
    <w:p>
      <w:pPr>
        <w:jc w:val="both"/>
        <w:spacing w:after="0" w:line="284" w:lineRule="auto"/>
        <w:rPr>
          <w:rFonts w:ascii="Arial" w:cs="Arial" w:eastAsia="Arial" w:hAnsi="Arial"/>
          <w:sz w:val="21"/>
          <w:szCs w:val="21"/>
          <w:color w:val="auto"/>
        </w:rPr>
      </w:pPr>
      <w:r>
        <w:rPr>
          <w:rFonts w:ascii="Arial" w:cs="Arial" w:eastAsia="Arial" w:hAnsi="Arial"/>
          <w:sz w:val="21"/>
          <w:szCs w:val="21"/>
          <w:color w:val="auto"/>
        </w:rPr>
        <w:t>The improvements in the average number of taps by the right hand in the left hemisphere stroke group (group A) between session 1 and session 2 and between session 2 and session 3 were signifi-cant (p &lt; .05). The improvements in the average number of taps by the left hand in the right hemisphere stroke group (group B) between ses-sion 1 and session 2 and between session 2 and session 3 were significant (p &lt; .05) (</w:t>
      </w:r>
      <w:hyperlink w:anchor="page6">
        <w:r>
          <w:rPr>
            <w:rFonts w:ascii="Arial" w:cs="Arial" w:eastAsia="Arial" w:hAnsi="Arial"/>
            <w:sz w:val="21"/>
            <w:szCs w:val="21"/>
            <w:color w:val="000080"/>
          </w:rPr>
          <w:t>Table 2</w:t>
        </w:r>
      </w:hyperlink>
      <w:r>
        <w:rPr>
          <w:rFonts w:ascii="Arial" w:cs="Arial" w:eastAsia="Arial" w:hAnsi="Arial"/>
          <w:sz w:val="21"/>
          <w:szCs w:val="21"/>
          <w:color w:val="auto"/>
        </w:rPr>
        <w:t>).</w:t>
      </w:r>
    </w:p>
    <w:p>
      <w:pPr>
        <w:sectPr>
          <w:pgSz w:w="11880" w:h="15840" w:orient="portrait"/>
          <w:cols w:equalWidth="0" w:num="2">
            <w:col w:w="4740" w:space="360"/>
            <w:col w:w="4740"/>
          </w:cols>
          <w:pgMar w:left="1020" w:top="472" w:right="1019" w:bottom="867" w:gutter="0" w:footer="0" w:header="0"/>
        </w:sectPr>
      </w:pPr>
    </w:p>
    <w:bookmarkStart w:id="5" w:name="page6"/>
    <w:bookmarkEnd w:id="5"/>
    <w:tbl>
      <w:tblPr>
        <w:tblLayout w:type="fixed"/>
        <w:tblInd w:w="6900" w:type="dxa"/>
        <w:tblCellMar>
          <w:top w:w="0" w:type="dxa"/>
          <w:left w:w="0" w:type="dxa"/>
          <w:bottom w:w="0" w:type="dxa"/>
          <w:right w:w="0" w:type="dxa"/>
        </w:tblCellMar>
      </w:tblPr>
      <w:tr>
        <w:trPr>
          <w:trHeight w:val="178"/>
        </w:trPr>
        <w:tc>
          <w:tcPr>
            <w:tcW w:w="2600" w:type="dxa"/>
            <w:vAlign w:val="bottom"/>
          </w:tcPr>
          <w:p>
            <w:pPr>
              <w:spacing w:after="0"/>
              <w:rPr>
                <w:sz w:val="20"/>
                <w:szCs w:val="20"/>
                <w:color w:val="auto"/>
              </w:rPr>
            </w:pPr>
            <w:r>
              <w:rPr>
                <w:rFonts w:ascii="Arial" w:cs="Arial" w:eastAsia="Arial" w:hAnsi="Arial"/>
                <w:sz w:val="15"/>
                <w:szCs w:val="15"/>
                <w:color w:val="auto"/>
                <w:w w:val="96"/>
              </w:rPr>
              <w:t>TOPICS IN STROKE REHABILITATION</w:t>
            </w:r>
          </w:p>
        </w:tc>
        <w:tc>
          <w:tcPr>
            <w:tcW w:w="340" w:type="dxa"/>
            <w:vAlign w:val="bottom"/>
          </w:tcPr>
          <w:p>
            <w:pPr>
              <w:jc w:val="right"/>
              <w:spacing w:after="0"/>
              <w:rPr>
                <w:sz w:val="20"/>
                <w:szCs w:val="20"/>
                <w:color w:val="auto"/>
              </w:rPr>
            </w:pPr>
            <w:r>
              <w:rPr>
                <w:rFonts w:ascii="Arial" w:cs="Arial" w:eastAsia="Arial" w:hAnsi="Arial"/>
                <w:sz w:val="15"/>
                <w:szCs w:val="15"/>
                <w:color w:val="auto"/>
              </w:rPr>
              <w:t>5</w:t>
            </w:r>
          </w:p>
        </w:tc>
      </w:tr>
    </w:tbl>
    <w:p>
      <w:pPr>
        <w:spacing w:after="0" w:line="299"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6608445</wp:posOffset>
            </wp:positionH>
            <wp:positionV relativeFrom="page">
              <wp:posOffset>320675</wp:posOffset>
            </wp:positionV>
            <wp:extent cx="139700" cy="13970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a:extLst>
                        <a:ext uri="{28A0092B-C50C-407E-A947-70E740481C1C}"/>
                      </a:extLst>
                    </a:blip>
                    <a:srcRect/>
                    <a:stretch>
                      <a:fillRect/>
                    </a:stretch>
                  </pic:blipFill>
                  <pic:spPr bwMode="auto">
                    <a:xfrm>
                      <a:off x="0" y="0"/>
                      <a:ext cx="139700" cy="139700"/>
                    </a:xfrm>
                    <a:prstGeom prst="rect">
                      <a:avLst/>
                    </a:prstGeom>
                    <a:noFill/>
                  </pic:spPr>
                </pic:pic>
              </a:graphicData>
            </a:graphic>
          </wp:anchor>
        </w:drawing>
      </w:r>
    </w:p>
    <w:p>
      <w:pPr>
        <w:spacing w:after="0"/>
        <w:rPr>
          <w:sz w:val="20"/>
          <w:szCs w:val="20"/>
          <w:color w:val="auto"/>
        </w:rPr>
      </w:pPr>
      <w:r>
        <w:rPr>
          <w:rFonts w:ascii="Arial" w:cs="Arial" w:eastAsia="Arial" w:hAnsi="Arial"/>
          <w:sz w:val="19"/>
          <w:szCs w:val="19"/>
          <w:b w:val="1"/>
          <w:bCs w:val="1"/>
          <w:color w:val="10147E"/>
        </w:rPr>
        <w:t xml:space="preserve">Table 1. </w:t>
      </w:r>
      <w:r>
        <w:rPr>
          <w:rFonts w:ascii="Arial" w:cs="Arial" w:eastAsia="Arial" w:hAnsi="Arial"/>
          <w:sz w:val="19"/>
          <w:szCs w:val="19"/>
          <w:color w:val="000000"/>
        </w:rPr>
        <w:t>Basic statistics of the included patients after stroke.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11430</wp:posOffset>
                </wp:positionV>
                <wp:extent cx="6248400" cy="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48400" cy="4763"/>
                        </a:xfrm>
                        <a:prstGeom prst="line">
                          <a:avLst/>
                        </a:prstGeom>
                        <a:solidFill>
                          <a:srgbClr val="FFFFFF"/>
                        </a:solidFill>
                        <a:ln w="6350">
                          <a:solidFill>
                            <a:srgbClr val="10147E"/>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0.9pt" to="492pt,0.9pt" o:allowincell="f" strokecolor="#10147E" strokeweight="0.5pt"/>
            </w:pict>
          </mc:Fallback>
        </mc:AlternateContent>
      </w:r>
    </w:p>
    <w:p>
      <w:pPr>
        <w:spacing w:after="0" w:line="38"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94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1740" w:type="dxa"/>
            <w:vAlign w:val="bottom"/>
          </w:tcPr>
          <w:p>
            <w:pPr>
              <w:jc w:val="center"/>
              <w:spacing w:after="0"/>
              <w:rPr>
                <w:sz w:val="20"/>
                <w:szCs w:val="20"/>
                <w:color w:val="auto"/>
              </w:rPr>
            </w:pPr>
            <w:r>
              <w:rPr>
                <w:rFonts w:ascii="Arial" w:cs="Arial" w:eastAsia="Arial" w:hAnsi="Arial"/>
                <w:sz w:val="16"/>
                <w:szCs w:val="16"/>
                <w:color w:val="auto"/>
                <w:w w:val="84"/>
              </w:rPr>
              <w:t>Lesion</w:t>
            </w:r>
          </w:p>
        </w:tc>
        <w:tc>
          <w:tcPr>
            <w:tcW w:w="960" w:type="dxa"/>
            <w:vAlign w:val="bottom"/>
          </w:tcPr>
          <w:p>
            <w:pPr>
              <w:spacing w:after="0"/>
              <w:rPr>
                <w:sz w:val="16"/>
                <w:szCs w:val="16"/>
                <w:color w:val="auto"/>
              </w:rPr>
            </w:pPr>
          </w:p>
        </w:tc>
        <w:tc>
          <w:tcPr>
            <w:tcW w:w="1880" w:type="dxa"/>
            <w:vAlign w:val="bottom"/>
          </w:tcPr>
          <w:p>
            <w:pPr>
              <w:ind w:left="200"/>
              <w:spacing w:after="0"/>
              <w:rPr>
                <w:sz w:val="20"/>
                <w:szCs w:val="20"/>
                <w:color w:val="auto"/>
              </w:rPr>
            </w:pPr>
            <w:r>
              <w:rPr>
                <w:rFonts w:ascii="Arial" w:cs="Arial" w:eastAsia="Arial" w:hAnsi="Arial"/>
                <w:sz w:val="16"/>
                <w:szCs w:val="16"/>
                <w:color w:val="auto"/>
                <w:w w:val="97"/>
              </w:rPr>
              <w:t>Checkpoint (after onset)</w:t>
            </w:r>
          </w:p>
        </w:tc>
        <w:tc>
          <w:tcPr>
            <w:tcW w:w="640" w:type="dxa"/>
            <w:vAlign w:val="bottom"/>
          </w:tcPr>
          <w:p>
            <w:pPr>
              <w:spacing w:after="0"/>
              <w:rPr>
                <w:sz w:val="16"/>
                <w:szCs w:val="16"/>
                <w:color w:val="auto"/>
              </w:rPr>
            </w:pPr>
          </w:p>
        </w:tc>
      </w:tr>
      <w:tr>
        <w:trPr>
          <w:trHeight w:val="20"/>
        </w:trPr>
        <w:tc>
          <w:tcPr>
            <w:tcW w:w="940" w:type="dxa"/>
            <w:vAlign w:val="bottom"/>
            <w:tcBorders>
              <w:bottom w:val="single" w:sz="8" w:color="10147E"/>
            </w:tcBorders>
          </w:tcPr>
          <w:p>
            <w:pPr>
              <w:spacing w:after="0" w:line="20" w:lineRule="exact"/>
              <w:rPr>
                <w:sz w:val="1"/>
                <w:szCs w:val="1"/>
                <w:color w:val="auto"/>
              </w:rPr>
            </w:pPr>
          </w:p>
        </w:tc>
        <w:tc>
          <w:tcPr>
            <w:tcW w:w="1320" w:type="dxa"/>
            <w:vAlign w:val="bottom"/>
            <w:tcBorders>
              <w:bottom w:val="single" w:sz="8" w:color="10147E"/>
            </w:tcBorders>
          </w:tcPr>
          <w:p>
            <w:pPr>
              <w:spacing w:after="0" w:line="20" w:lineRule="exact"/>
              <w:rPr>
                <w:sz w:val="1"/>
                <w:szCs w:val="1"/>
                <w:color w:val="auto"/>
              </w:rPr>
            </w:pPr>
          </w:p>
        </w:tc>
        <w:tc>
          <w:tcPr>
            <w:tcW w:w="1100" w:type="dxa"/>
            <w:vAlign w:val="bottom"/>
            <w:tcBorders>
              <w:bottom w:val="single" w:sz="8" w:color="10147E"/>
            </w:tcBorders>
          </w:tcPr>
          <w:p>
            <w:pPr>
              <w:spacing w:after="0" w:line="20" w:lineRule="exact"/>
              <w:rPr>
                <w:sz w:val="1"/>
                <w:szCs w:val="1"/>
                <w:color w:val="auto"/>
              </w:rPr>
            </w:pPr>
          </w:p>
        </w:tc>
        <w:tc>
          <w:tcPr>
            <w:tcW w:w="1260" w:type="dxa"/>
            <w:vAlign w:val="bottom"/>
            <w:tcBorders>
              <w:bottom w:val="single" w:sz="8" w:color="10147E"/>
            </w:tcBorders>
          </w:tcPr>
          <w:p>
            <w:pPr>
              <w:spacing w:after="0" w:line="20" w:lineRule="exact"/>
              <w:rPr>
                <w:sz w:val="1"/>
                <w:szCs w:val="1"/>
                <w:color w:val="auto"/>
              </w:rPr>
            </w:pPr>
          </w:p>
        </w:tc>
        <w:tc>
          <w:tcPr>
            <w:tcW w:w="1740" w:type="dxa"/>
            <w:vAlign w:val="bottom"/>
            <w:tcBorders>
              <w:bottom w:val="single" w:sz="8" w:color="10147E"/>
            </w:tcBorders>
          </w:tcPr>
          <w:p>
            <w:pPr>
              <w:spacing w:after="0" w:line="20" w:lineRule="exact"/>
              <w:rPr>
                <w:sz w:val="1"/>
                <w:szCs w:val="1"/>
                <w:color w:val="auto"/>
              </w:rPr>
            </w:pPr>
          </w:p>
        </w:tc>
        <w:tc>
          <w:tcPr>
            <w:tcW w:w="960" w:type="dxa"/>
            <w:vAlign w:val="bottom"/>
            <w:tcBorders>
              <w:bottom w:val="single" w:sz="8" w:color="10147E"/>
            </w:tcBorders>
          </w:tcPr>
          <w:p>
            <w:pPr>
              <w:spacing w:after="0" w:line="20" w:lineRule="exact"/>
              <w:rPr>
                <w:sz w:val="1"/>
                <w:szCs w:val="1"/>
                <w:color w:val="auto"/>
              </w:rPr>
            </w:pPr>
          </w:p>
        </w:tc>
        <w:tc>
          <w:tcPr>
            <w:tcW w:w="1880" w:type="dxa"/>
            <w:vAlign w:val="bottom"/>
            <w:tcBorders>
              <w:bottom w:val="single" w:sz="8" w:color="10147E"/>
            </w:tcBorders>
          </w:tcPr>
          <w:p>
            <w:pPr>
              <w:spacing w:after="0" w:line="20" w:lineRule="exact"/>
              <w:rPr>
                <w:sz w:val="1"/>
                <w:szCs w:val="1"/>
                <w:color w:val="auto"/>
              </w:rPr>
            </w:pPr>
          </w:p>
        </w:tc>
        <w:tc>
          <w:tcPr>
            <w:tcW w:w="640" w:type="dxa"/>
            <w:vAlign w:val="bottom"/>
            <w:tcBorders>
              <w:bottom w:val="single" w:sz="8" w:color="10147E"/>
            </w:tcBorders>
          </w:tcPr>
          <w:p>
            <w:pPr>
              <w:spacing w:after="0" w:line="20" w:lineRule="exact"/>
              <w:rPr>
                <w:sz w:val="1"/>
                <w:szCs w:val="1"/>
                <w:color w:val="auto"/>
              </w:rPr>
            </w:pPr>
          </w:p>
        </w:tc>
      </w:tr>
      <w:tr>
        <w:trPr>
          <w:trHeight w:val="308"/>
        </w:trPr>
        <w:tc>
          <w:tcPr>
            <w:tcW w:w="940" w:type="dxa"/>
            <w:vAlign w:val="bottom"/>
            <w:tcBorders>
              <w:bottom w:val="single" w:sz="8" w:color="10147E"/>
            </w:tcBorders>
          </w:tcPr>
          <w:p>
            <w:pPr>
              <w:ind w:left="80"/>
              <w:spacing w:after="0"/>
              <w:rPr>
                <w:sz w:val="20"/>
                <w:szCs w:val="20"/>
                <w:color w:val="auto"/>
              </w:rPr>
            </w:pPr>
            <w:r>
              <w:rPr>
                <w:rFonts w:ascii="Arial" w:cs="Arial" w:eastAsia="Arial" w:hAnsi="Arial"/>
                <w:sz w:val="16"/>
                <w:szCs w:val="16"/>
                <w:color w:val="auto"/>
              </w:rPr>
              <w:t>Patient</w:t>
            </w:r>
          </w:p>
        </w:tc>
        <w:tc>
          <w:tcPr>
            <w:tcW w:w="1320" w:type="dxa"/>
            <w:vAlign w:val="bottom"/>
            <w:tcBorders>
              <w:bottom w:val="single" w:sz="8" w:color="10147E"/>
            </w:tcBorders>
          </w:tcPr>
          <w:p>
            <w:pPr>
              <w:ind w:left="440"/>
              <w:spacing w:after="0"/>
              <w:rPr>
                <w:sz w:val="20"/>
                <w:szCs w:val="20"/>
                <w:color w:val="auto"/>
              </w:rPr>
            </w:pPr>
            <w:r>
              <w:rPr>
                <w:rFonts w:ascii="Arial" w:cs="Arial" w:eastAsia="Arial" w:hAnsi="Arial"/>
                <w:sz w:val="16"/>
                <w:szCs w:val="16"/>
                <w:color w:val="auto"/>
              </w:rPr>
              <w:t>Gender</w:t>
            </w:r>
          </w:p>
        </w:tc>
        <w:tc>
          <w:tcPr>
            <w:tcW w:w="1100" w:type="dxa"/>
            <w:vAlign w:val="bottom"/>
            <w:tcBorders>
              <w:bottom w:val="single" w:sz="8" w:color="10147E"/>
            </w:tcBorders>
          </w:tcPr>
          <w:p>
            <w:pPr>
              <w:jc w:val="center"/>
              <w:spacing w:after="0"/>
              <w:rPr>
                <w:sz w:val="20"/>
                <w:szCs w:val="20"/>
                <w:color w:val="auto"/>
              </w:rPr>
            </w:pPr>
            <w:r>
              <w:rPr>
                <w:rFonts w:ascii="Arial" w:cs="Arial" w:eastAsia="Arial" w:hAnsi="Arial"/>
                <w:sz w:val="16"/>
                <w:szCs w:val="16"/>
                <w:color w:val="auto"/>
                <w:w w:val="84"/>
              </w:rPr>
              <w:t>Age</w:t>
            </w:r>
          </w:p>
        </w:tc>
        <w:tc>
          <w:tcPr>
            <w:tcW w:w="1260" w:type="dxa"/>
            <w:vAlign w:val="bottom"/>
            <w:tcBorders>
              <w:bottom w:val="single" w:sz="8" w:color="10147E"/>
            </w:tcBorders>
          </w:tcPr>
          <w:p>
            <w:pPr>
              <w:ind w:left="440"/>
              <w:spacing w:after="0"/>
              <w:rPr>
                <w:sz w:val="20"/>
                <w:szCs w:val="20"/>
                <w:color w:val="auto"/>
              </w:rPr>
            </w:pPr>
            <w:r>
              <w:rPr>
                <w:rFonts w:ascii="Arial" w:cs="Arial" w:eastAsia="Arial" w:hAnsi="Arial"/>
                <w:sz w:val="16"/>
                <w:szCs w:val="16"/>
                <w:color w:val="auto"/>
              </w:rPr>
              <w:t>Lesion</w:t>
            </w:r>
          </w:p>
        </w:tc>
        <w:tc>
          <w:tcPr>
            <w:tcW w:w="1740" w:type="dxa"/>
            <w:vAlign w:val="bottom"/>
            <w:tcBorders>
              <w:bottom w:val="single" w:sz="8" w:color="10147E"/>
            </w:tcBorders>
          </w:tcPr>
          <w:p>
            <w:pPr>
              <w:jc w:val="center"/>
              <w:spacing w:after="0"/>
              <w:rPr>
                <w:sz w:val="20"/>
                <w:szCs w:val="20"/>
                <w:color w:val="auto"/>
              </w:rPr>
            </w:pPr>
            <w:r>
              <w:rPr>
                <w:rFonts w:ascii="Arial" w:cs="Arial" w:eastAsia="Arial" w:hAnsi="Arial"/>
                <w:sz w:val="16"/>
                <w:szCs w:val="16"/>
                <w:color w:val="auto"/>
                <w:w w:val="88"/>
              </w:rPr>
              <w:t>volume(mm</w:t>
            </w:r>
            <w:r>
              <w:rPr>
                <w:rFonts w:ascii="Arial" w:cs="Arial" w:eastAsia="Arial" w:hAnsi="Arial"/>
                <w:sz w:val="21"/>
                <w:szCs w:val="21"/>
                <w:color w:val="auto"/>
                <w:w w:val="88"/>
                <w:vertAlign w:val="superscript"/>
              </w:rPr>
              <w:t>3</w:t>
            </w:r>
            <w:r>
              <w:rPr>
                <w:rFonts w:ascii="Arial" w:cs="Arial" w:eastAsia="Arial" w:hAnsi="Arial"/>
                <w:sz w:val="16"/>
                <w:szCs w:val="16"/>
                <w:color w:val="auto"/>
                <w:w w:val="88"/>
              </w:rPr>
              <w:t>)</w:t>
            </w:r>
          </w:p>
        </w:tc>
        <w:tc>
          <w:tcPr>
            <w:tcW w:w="960" w:type="dxa"/>
            <w:vAlign w:val="bottom"/>
            <w:tcBorders>
              <w:bottom w:val="single" w:sz="8" w:color="10147E"/>
            </w:tcBorders>
          </w:tcPr>
          <w:p>
            <w:pPr>
              <w:jc w:val="center"/>
              <w:ind w:left="200"/>
              <w:spacing w:after="0"/>
              <w:rPr>
                <w:sz w:val="20"/>
                <w:szCs w:val="20"/>
                <w:color w:val="auto"/>
              </w:rPr>
            </w:pPr>
            <w:r>
              <w:rPr>
                <w:rFonts w:ascii="Arial" w:cs="Arial" w:eastAsia="Arial" w:hAnsi="Arial"/>
                <w:sz w:val="16"/>
                <w:szCs w:val="16"/>
                <w:color w:val="auto"/>
                <w:w w:val="83"/>
              </w:rPr>
              <w:t>T1(d)</w:t>
            </w:r>
          </w:p>
        </w:tc>
        <w:tc>
          <w:tcPr>
            <w:tcW w:w="1880" w:type="dxa"/>
            <w:vAlign w:val="bottom"/>
            <w:tcBorders>
              <w:bottom w:val="single" w:sz="8" w:color="10147E"/>
            </w:tcBorders>
          </w:tcPr>
          <w:p>
            <w:pPr>
              <w:jc w:val="center"/>
              <w:spacing w:after="0"/>
              <w:rPr>
                <w:sz w:val="20"/>
                <w:szCs w:val="20"/>
                <w:color w:val="auto"/>
              </w:rPr>
            </w:pPr>
            <w:r>
              <w:rPr>
                <w:rFonts w:ascii="Arial" w:cs="Arial" w:eastAsia="Arial" w:hAnsi="Arial"/>
                <w:sz w:val="16"/>
                <w:szCs w:val="16"/>
                <w:color w:val="auto"/>
                <w:w w:val="83"/>
              </w:rPr>
              <w:t>T2(d)</w:t>
            </w:r>
          </w:p>
        </w:tc>
        <w:tc>
          <w:tcPr>
            <w:tcW w:w="640" w:type="dxa"/>
            <w:vAlign w:val="bottom"/>
            <w:tcBorders>
              <w:bottom w:val="single" w:sz="8" w:color="10147E"/>
            </w:tcBorders>
          </w:tcPr>
          <w:p>
            <w:pPr>
              <w:jc w:val="right"/>
              <w:ind w:right="60"/>
              <w:spacing w:after="0"/>
              <w:rPr>
                <w:sz w:val="20"/>
                <w:szCs w:val="20"/>
                <w:color w:val="auto"/>
              </w:rPr>
            </w:pPr>
            <w:r>
              <w:rPr>
                <w:rFonts w:ascii="Arial" w:cs="Arial" w:eastAsia="Arial" w:hAnsi="Arial"/>
                <w:sz w:val="16"/>
                <w:szCs w:val="16"/>
                <w:color w:val="auto"/>
              </w:rPr>
              <w:t>T3(d)</w:t>
            </w:r>
          </w:p>
        </w:tc>
      </w:tr>
      <w:tr>
        <w:trPr>
          <w:trHeight w:val="196"/>
        </w:trPr>
        <w:tc>
          <w:tcPr>
            <w:tcW w:w="940" w:type="dxa"/>
            <w:vAlign w:val="bottom"/>
          </w:tcPr>
          <w:p>
            <w:pPr>
              <w:ind w:left="80"/>
              <w:spacing w:after="0"/>
              <w:rPr>
                <w:sz w:val="20"/>
                <w:szCs w:val="20"/>
                <w:color w:val="auto"/>
              </w:rPr>
            </w:pPr>
            <w:r>
              <w:rPr>
                <w:rFonts w:ascii="Arial" w:cs="Arial" w:eastAsia="Arial" w:hAnsi="Arial"/>
                <w:sz w:val="16"/>
                <w:szCs w:val="16"/>
                <w:color w:val="auto"/>
              </w:rPr>
              <w:t>1</w:t>
            </w:r>
          </w:p>
        </w:tc>
        <w:tc>
          <w:tcPr>
            <w:tcW w:w="1320" w:type="dxa"/>
            <w:vAlign w:val="bottom"/>
          </w:tcPr>
          <w:p>
            <w:pPr>
              <w:ind w:left="440"/>
              <w:spacing w:after="0"/>
              <w:rPr>
                <w:sz w:val="20"/>
                <w:szCs w:val="20"/>
                <w:color w:val="auto"/>
              </w:rPr>
            </w:pPr>
            <w:r>
              <w:rPr>
                <w:rFonts w:ascii="Arial" w:cs="Arial" w:eastAsia="Arial" w:hAnsi="Arial"/>
                <w:sz w:val="16"/>
                <w:szCs w:val="16"/>
                <w:color w:val="auto"/>
              </w:rPr>
              <w:t>M</w:t>
            </w:r>
          </w:p>
        </w:tc>
        <w:tc>
          <w:tcPr>
            <w:tcW w:w="1100" w:type="dxa"/>
            <w:vAlign w:val="bottom"/>
          </w:tcPr>
          <w:p>
            <w:pPr>
              <w:jc w:val="center"/>
              <w:spacing w:after="0"/>
              <w:rPr>
                <w:sz w:val="20"/>
                <w:szCs w:val="20"/>
                <w:color w:val="auto"/>
              </w:rPr>
            </w:pPr>
            <w:r>
              <w:rPr>
                <w:rFonts w:ascii="Arial" w:cs="Arial" w:eastAsia="Arial" w:hAnsi="Arial"/>
                <w:sz w:val="16"/>
                <w:szCs w:val="16"/>
                <w:color w:val="auto"/>
                <w:w w:val="89"/>
              </w:rPr>
              <w:t>64</w:t>
            </w:r>
          </w:p>
        </w:tc>
        <w:tc>
          <w:tcPr>
            <w:tcW w:w="1260" w:type="dxa"/>
            <w:vAlign w:val="bottom"/>
          </w:tcPr>
          <w:p>
            <w:pPr>
              <w:ind w:left="440"/>
              <w:spacing w:after="0"/>
              <w:rPr>
                <w:sz w:val="20"/>
                <w:szCs w:val="20"/>
                <w:color w:val="auto"/>
              </w:rPr>
            </w:pPr>
            <w:r>
              <w:rPr>
                <w:rFonts w:ascii="Arial" w:cs="Arial" w:eastAsia="Arial" w:hAnsi="Arial"/>
                <w:sz w:val="16"/>
                <w:szCs w:val="16"/>
                <w:color w:val="auto"/>
              </w:rPr>
              <w:t>R</w:t>
            </w:r>
          </w:p>
        </w:tc>
        <w:tc>
          <w:tcPr>
            <w:tcW w:w="1740" w:type="dxa"/>
            <w:vAlign w:val="bottom"/>
          </w:tcPr>
          <w:p>
            <w:pPr>
              <w:jc w:val="center"/>
              <w:spacing w:after="0"/>
              <w:rPr>
                <w:sz w:val="20"/>
                <w:szCs w:val="20"/>
                <w:color w:val="auto"/>
              </w:rPr>
            </w:pPr>
            <w:r>
              <w:rPr>
                <w:rFonts w:ascii="Arial" w:cs="Arial" w:eastAsia="Arial" w:hAnsi="Arial"/>
                <w:sz w:val="16"/>
                <w:szCs w:val="16"/>
                <w:color w:val="auto"/>
                <w:w w:val="82"/>
              </w:rPr>
              <w:t>4171.31</w:t>
            </w:r>
          </w:p>
        </w:tc>
        <w:tc>
          <w:tcPr>
            <w:tcW w:w="960" w:type="dxa"/>
            <w:vAlign w:val="bottom"/>
          </w:tcPr>
          <w:p>
            <w:pPr>
              <w:jc w:val="center"/>
              <w:ind w:left="200"/>
              <w:spacing w:after="0"/>
              <w:rPr>
                <w:sz w:val="20"/>
                <w:szCs w:val="20"/>
                <w:color w:val="auto"/>
              </w:rPr>
            </w:pPr>
            <w:r>
              <w:rPr>
                <w:rFonts w:ascii="Arial" w:cs="Arial" w:eastAsia="Arial" w:hAnsi="Arial"/>
                <w:sz w:val="16"/>
                <w:szCs w:val="16"/>
                <w:color w:val="auto"/>
                <w:w w:val="89"/>
              </w:rPr>
              <w:t>3</w:t>
            </w:r>
          </w:p>
        </w:tc>
        <w:tc>
          <w:tcPr>
            <w:tcW w:w="1880" w:type="dxa"/>
            <w:vAlign w:val="bottom"/>
          </w:tcPr>
          <w:p>
            <w:pPr>
              <w:jc w:val="center"/>
              <w:spacing w:after="0"/>
              <w:rPr>
                <w:sz w:val="20"/>
                <w:szCs w:val="20"/>
                <w:color w:val="auto"/>
              </w:rPr>
            </w:pPr>
            <w:r>
              <w:rPr>
                <w:rFonts w:ascii="Arial" w:cs="Arial" w:eastAsia="Arial" w:hAnsi="Arial"/>
                <w:sz w:val="16"/>
                <w:szCs w:val="16"/>
                <w:color w:val="auto"/>
                <w:w w:val="78"/>
              </w:rPr>
              <w:t>43</w:t>
            </w:r>
          </w:p>
        </w:tc>
        <w:tc>
          <w:tcPr>
            <w:tcW w:w="640" w:type="dxa"/>
            <w:vAlign w:val="bottom"/>
          </w:tcPr>
          <w:p>
            <w:pPr>
              <w:jc w:val="right"/>
              <w:ind w:right="100"/>
              <w:spacing w:after="0"/>
              <w:rPr>
                <w:sz w:val="20"/>
                <w:szCs w:val="20"/>
                <w:color w:val="auto"/>
              </w:rPr>
            </w:pPr>
            <w:r>
              <w:rPr>
                <w:rFonts w:ascii="Arial" w:cs="Arial" w:eastAsia="Arial" w:hAnsi="Arial"/>
                <w:sz w:val="16"/>
                <w:szCs w:val="16"/>
                <w:color w:val="auto"/>
              </w:rPr>
              <w:t>106</w:t>
            </w:r>
          </w:p>
        </w:tc>
      </w:tr>
      <w:tr>
        <w:trPr>
          <w:trHeight w:val="180"/>
        </w:trPr>
        <w:tc>
          <w:tcPr>
            <w:tcW w:w="940" w:type="dxa"/>
            <w:vAlign w:val="bottom"/>
          </w:tcPr>
          <w:p>
            <w:pPr>
              <w:ind w:left="80"/>
              <w:spacing w:after="0" w:line="181" w:lineRule="exact"/>
              <w:rPr>
                <w:sz w:val="20"/>
                <w:szCs w:val="20"/>
                <w:color w:val="auto"/>
              </w:rPr>
            </w:pPr>
            <w:r>
              <w:rPr>
                <w:rFonts w:ascii="Arial" w:cs="Arial" w:eastAsia="Arial" w:hAnsi="Arial"/>
                <w:sz w:val="16"/>
                <w:szCs w:val="16"/>
                <w:color w:val="auto"/>
              </w:rPr>
              <w:t>2</w:t>
            </w:r>
          </w:p>
        </w:tc>
        <w:tc>
          <w:tcPr>
            <w:tcW w:w="1320" w:type="dxa"/>
            <w:vAlign w:val="bottom"/>
          </w:tcPr>
          <w:p>
            <w:pPr>
              <w:ind w:left="440"/>
              <w:spacing w:after="0" w:line="181" w:lineRule="exact"/>
              <w:rPr>
                <w:sz w:val="20"/>
                <w:szCs w:val="20"/>
                <w:color w:val="auto"/>
              </w:rPr>
            </w:pPr>
            <w:r>
              <w:rPr>
                <w:rFonts w:ascii="Arial" w:cs="Arial" w:eastAsia="Arial" w:hAnsi="Arial"/>
                <w:sz w:val="16"/>
                <w:szCs w:val="16"/>
                <w:color w:val="auto"/>
              </w:rPr>
              <w:t>F</w:t>
            </w:r>
          </w:p>
        </w:tc>
        <w:tc>
          <w:tcPr>
            <w:tcW w:w="1100" w:type="dxa"/>
            <w:vAlign w:val="bottom"/>
          </w:tcPr>
          <w:p>
            <w:pPr>
              <w:jc w:val="center"/>
              <w:spacing w:after="0" w:line="181" w:lineRule="exact"/>
              <w:rPr>
                <w:sz w:val="20"/>
                <w:szCs w:val="20"/>
                <w:color w:val="auto"/>
              </w:rPr>
            </w:pPr>
            <w:r>
              <w:rPr>
                <w:rFonts w:ascii="Arial" w:cs="Arial" w:eastAsia="Arial" w:hAnsi="Arial"/>
                <w:sz w:val="16"/>
                <w:szCs w:val="16"/>
                <w:color w:val="auto"/>
                <w:w w:val="89"/>
              </w:rPr>
              <w:t>57</w:t>
            </w:r>
          </w:p>
        </w:tc>
        <w:tc>
          <w:tcPr>
            <w:tcW w:w="1260" w:type="dxa"/>
            <w:vAlign w:val="bottom"/>
          </w:tcPr>
          <w:p>
            <w:pPr>
              <w:ind w:left="440"/>
              <w:spacing w:after="0" w:line="181" w:lineRule="exact"/>
              <w:rPr>
                <w:sz w:val="20"/>
                <w:szCs w:val="20"/>
                <w:color w:val="auto"/>
              </w:rPr>
            </w:pPr>
            <w:r>
              <w:rPr>
                <w:rFonts w:ascii="Arial" w:cs="Arial" w:eastAsia="Arial" w:hAnsi="Arial"/>
                <w:sz w:val="16"/>
                <w:szCs w:val="16"/>
                <w:color w:val="auto"/>
              </w:rPr>
              <w:t>R</w:t>
            </w:r>
          </w:p>
        </w:tc>
        <w:tc>
          <w:tcPr>
            <w:tcW w:w="1740" w:type="dxa"/>
            <w:vAlign w:val="bottom"/>
          </w:tcPr>
          <w:p>
            <w:pPr>
              <w:jc w:val="center"/>
              <w:spacing w:after="0" w:line="181" w:lineRule="exact"/>
              <w:rPr>
                <w:sz w:val="20"/>
                <w:szCs w:val="20"/>
                <w:color w:val="auto"/>
              </w:rPr>
            </w:pPr>
            <w:r>
              <w:rPr>
                <w:rFonts w:ascii="Arial" w:cs="Arial" w:eastAsia="Arial" w:hAnsi="Arial"/>
                <w:sz w:val="16"/>
                <w:szCs w:val="16"/>
                <w:color w:val="auto"/>
                <w:w w:val="82"/>
              </w:rPr>
              <w:t>6210.55</w:t>
            </w:r>
          </w:p>
        </w:tc>
        <w:tc>
          <w:tcPr>
            <w:tcW w:w="960" w:type="dxa"/>
            <w:vAlign w:val="bottom"/>
          </w:tcPr>
          <w:p>
            <w:pPr>
              <w:jc w:val="center"/>
              <w:ind w:left="200"/>
              <w:spacing w:after="0" w:line="181" w:lineRule="exact"/>
              <w:rPr>
                <w:sz w:val="20"/>
                <w:szCs w:val="20"/>
                <w:color w:val="auto"/>
              </w:rPr>
            </w:pPr>
            <w:r>
              <w:rPr>
                <w:rFonts w:ascii="Arial" w:cs="Arial" w:eastAsia="Arial" w:hAnsi="Arial"/>
                <w:sz w:val="16"/>
                <w:szCs w:val="16"/>
                <w:color w:val="auto"/>
                <w:w w:val="89"/>
              </w:rPr>
              <w:t>2</w:t>
            </w:r>
          </w:p>
        </w:tc>
        <w:tc>
          <w:tcPr>
            <w:tcW w:w="1880" w:type="dxa"/>
            <w:vAlign w:val="bottom"/>
          </w:tcPr>
          <w:p>
            <w:pPr>
              <w:jc w:val="center"/>
              <w:spacing w:after="0" w:line="181" w:lineRule="exact"/>
              <w:rPr>
                <w:sz w:val="20"/>
                <w:szCs w:val="20"/>
                <w:color w:val="auto"/>
              </w:rPr>
            </w:pPr>
            <w:r>
              <w:rPr>
                <w:rFonts w:ascii="Arial" w:cs="Arial" w:eastAsia="Arial" w:hAnsi="Arial"/>
                <w:sz w:val="16"/>
                <w:szCs w:val="16"/>
                <w:color w:val="auto"/>
                <w:w w:val="78"/>
              </w:rPr>
              <w:t>43</w:t>
            </w:r>
          </w:p>
        </w:tc>
        <w:tc>
          <w:tcPr>
            <w:tcW w:w="640" w:type="dxa"/>
            <w:vAlign w:val="bottom"/>
          </w:tcPr>
          <w:p>
            <w:pPr>
              <w:jc w:val="right"/>
              <w:ind w:right="100"/>
              <w:spacing w:after="0" w:line="181" w:lineRule="exact"/>
              <w:rPr>
                <w:sz w:val="20"/>
                <w:szCs w:val="20"/>
                <w:color w:val="auto"/>
              </w:rPr>
            </w:pPr>
            <w:r>
              <w:rPr>
                <w:rFonts w:ascii="Arial" w:cs="Arial" w:eastAsia="Arial" w:hAnsi="Arial"/>
                <w:sz w:val="16"/>
                <w:szCs w:val="16"/>
                <w:color w:val="auto"/>
              </w:rPr>
              <w:t>111</w:t>
            </w:r>
          </w:p>
        </w:tc>
      </w:tr>
      <w:tr>
        <w:trPr>
          <w:trHeight w:val="181"/>
        </w:trPr>
        <w:tc>
          <w:tcPr>
            <w:tcW w:w="940" w:type="dxa"/>
            <w:vAlign w:val="bottom"/>
          </w:tcPr>
          <w:p>
            <w:pPr>
              <w:ind w:left="80"/>
              <w:spacing w:after="0" w:line="181" w:lineRule="exact"/>
              <w:rPr>
                <w:sz w:val="20"/>
                <w:szCs w:val="20"/>
                <w:color w:val="auto"/>
              </w:rPr>
            </w:pPr>
            <w:r>
              <w:rPr>
                <w:rFonts w:ascii="Arial" w:cs="Arial" w:eastAsia="Arial" w:hAnsi="Arial"/>
                <w:sz w:val="16"/>
                <w:szCs w:val="16"/>
                <w:color w:val="auto"/>
              </w:rPr>
              <w:t>3</w:t>
            </w:r>
          </w:p>
        </w:tc>
        <w:tc>
          <w:tcPr>
            <w:tcW w:w="1320" w:type="dxa"/>
            <w:vAlign w:val="bottom"/>
          </w:tcPr>
          <w:p>
            <w:pPr>
              <w:ind w:left="440"/>
              <w:spacing w:after="0" w:line="181" w:lineRule="exact"/>
              <w:rPr>
                <w:sz w:val="20"/>
                <w:szCs w:val="20"/>
                <w:color w:val="auto"/>
              </w:rPr>
            </w:pPr>
            <w:r>
              <w:rPr>
                <w:rFonts w:ascii="Arial" w:cs="Arial" w:eastAsia="Arial" w:hAnsi="Arial"/>
                <w:sz w:val="16"/>
                <w:szCs w:val="16"/>
                <w:color w:val="auto"/>
              </w:rPr>
              <w:t>M</w:t>
            </w:r>
          </w:p>
        </w:tc>
        <w:tc>
          <w:tcPr>
            <w:tcW w:w="1100" w:type="dxa"/>
            <w:vAlign w:val="bottom"/>
          </w:tcPr>
          <w:p>
            <w:pPr>
              <w:jc w:val="center"/>
              <w:spacing w:after="0" w:line="181" w:lineRule="exact"/>
              <w:rPr>
                <w:sz w:val="20"/>
                <w:szCs w:val="20"/>
                <w:color w:val="auto"/>
              </w:rPr>
            </w:pPr>
            <w:r>
              <w:rPr>
                <w:rFonts w:ascii="Arial" w:cs="Arial" w:eastAsia="Arial" w:hAnsi="Arial"/>
                <w:sz w:val="16"/>
                <w:szCs w:val="16"/>
                <w:color w:val="auto"/>
                <w:w w:val="89"/>
              </w:rPr>
              <w:t>59</w:t>
            </w:r>
          </w:p>
        </w:tc>
        <w:tc>
          <w:tcPr>
            <w:tcW w:w="1260" w:type="dxa"/>
            <w:vAlign w:val="bottom"/>
          </w:tcPr>
          <w:p>
            <w:pPr>
              <w:ind w:left="440"/>
              <w:spacing w:after="0" w:line="181" w:lineRule="exact"/>
              <w:rPr>
                <w:sz w:val="20"/>
                <w:szCs w:val="20"/>
                <w:color w:val="auto"/>
              </w:rPr>
            </w:pPr>
            <w:r>
              <w:rPr>
                <w:rFonts w:ascii="Arial" w:cs="Arial" w:eastAsia="Arial" w:hAnsi="Arial"/>
                <w:sz w:val="16"/>
                <w:szCs w:val="16"/>
                <w:color w:val="auto"/>
              </w:rPr>
              <w:t>R</w:t>
            </w:r>
          </w:p>
        </w:tc>
        <w:tc>
          <w:tcPr>
            <w:tcW w:w="1740" w:type="dxa"/>
            <w:vAlign w:val="bottom"/>
          </w:tcPr>
          <w:p>
            <w:pPr>
              <w:jc w:val="center"/>
              <w:spacing w:after="0" w:line="181" w:lineRule="exact"/>
              <w:rPr>
                <w:sz w:val="20"/>
                <w:szCs w:val="20"/>
                <w:color w:val="auto"/>
              </w:rPr>
            </w:pPr>
            <w:r>
              <w:rPr>
                <w:rFonts w:ascii="Arial" w:cs="Arial" w:eastAsia="Arial" w:hAnsi="Arial"/>
                <w:sz w:val="16"/>
                <w:szCs w:val="16"/>
                <w:color w:val="auto"/>
                <w:w w:val="82"/>
              </w:rPr>
              <w:t>3604.67</w:t>
            </w:r>
          </w:p>
        </w:tc>
        <w:tc>
          <w:tcPr>
            <w:tcW w:w="960" w:type="dxa"/>
            <w:vAlign w:val="bottom"/>
          </w:tcPr>
          <w:p>
            <w:pPr>
              <w:jc w:val="center"/>
              <w:ind w:left="200"/>
              <w:spacing w:after="0" w:line="181" w:lineRule="exact"/>
              <w:rPr>
                <w:sz w:val="20"/>
                <w:szCs w:val="20"/>
                <w:color w:val="auto"/>
              </w:rPr>
            </w:pPr>
            <w:r>
              <w:rPr>
                <w:rFonts w:ascii="Arial" w:cs="Arial" w:eastAsia="Arial" w:hAnsi="Arial"/>
                <w:sz w:val="16"/>
                <w:szCs w:val="16"/>
                <w:color w:val="auto"/>
                <w:w w:val="89"/>
              </w:rPr>
              <w:t>1</w:t>
            </w:r>
          </w:p>
        </w:tc>
        <w:tc>
          <w:tcPr>
            <w:tcW w:w="1880" w:type="dxa"/>
            <w:vAlign w:val="bottom"/>
          </w:tcPr>
          <w:p>
            <w:pPr>
              <w:jc w:val="center"/>
              <w:spacing w:after="0" w:line="181" w:lineRule="exact"/>
              <w:rPr>
                <w:sz w:val="20"/>
                <w:szCs w:val="20"/>
                <w:color w:val="auto"/>
              </w:rPr>
            </w:pPr>
            <w:r>
              <w:rPr>
                <w:rFonts w:ascii="Arial" w:cs="Arial" w:eastAsia="Arial" w:hAnsi="Arial"/>
                <w:sz w:val="16"/>
                <w:szCs w:val="16"/>
                <w:color w:val="auto"/>
                <w:w w:val="78"/>
              </w:rPr>
              <w:t>55</w:t>
            </w:r>
          </w:p>
        </w:tc>
        <w:tc>
          <w:tcPr>
            <w:tcW w:w="640" w:type="dxa"/>
            <w:vAlign w:val="bottom"/>
          </w:tcPr>
          <w:p>
            <w:pPr>
              <w:jc w:val="right"/>
              <w:ind w:right="100"/>
              <w:spacing w:after="0" w:line="181" w:lineRule="exact"/>
              <w:rPr>
                <w:sz w:val="20"/>
                <w:szCs w:val="20"/>
                <w:color w:val="auto"/>
              </w:rPr>
            </w:pPr>
            <w:r>
              <w:rPr>
                <w:rFonts w:ascii="Arial" w:cs="Arial" w:eastAsia="Arial" w:hAnsi="Arial"/>
                <w:sz w:val="16"/>
                <w:szCs w:val="16"/>
                <w:color w:val="auto"/>
              </w:rPr>
              <w:t>117</w:t>
            </w:r>
          </w:p>
        </w:tc>
      </w:tr>
      <w:tr>
        <w:trPr>
          <w:trHeight w:val="180"/>
        </w:trPr>
        <w:tc>
          <w:tcPr>
            <w:tcW w:w="940" w:type="dxa"/>
            <w:vAlign w:val="bottom"/>
          </w:tcPr>
          <w:p>
            <w:pPr>
              <w:ind w:left="80"/>
              <w:spacing w:after="0" w:line="181" w:lineRule="exact"/>
              <w:rPr>
                <w:sz w:val="20"/>
                <w:szCs w:val="20"/>
                <w:color w:val="auto"/>
              </w:rPr>
            </w:pPr>
            <w:r>
              <w:rPr>
                <w:rFonts w:ascii="Arial" w:cs="Arial" w:eastAsia="Arial" w:hAnsi="Arial"/>
                <w:sz w:val="16"/>
                <w:szCs w:val="16"/>
                <w:color w:val="auto"/>
              </w:rPr>
              <w:t>4</w:t>
            </w:r>
          </w:p>
        </w:tc>
        <w:tc>
          <w:tcPr>
            <w:tcW w:w="1320" w:type="dxa"/>
            <w:vAlign w:val="bottom"/>
          </w:tcPr>
          <w:p>
            <w:pPr>
              <w:ind w:left="440"/>
              <w:spacing w:after="0" w:line="181" w:lineRule="exact"/>
              <w:rPr>
                <w:sz w:val="20"/>
                <w:szCs w:val="20"/>
                <w:color w:val="auto"/>
              </w:rPr>
            </w:pPr>
            <w:r>
              <w:rPr>
                <w:rFonts w:ascii="Arial" w:cs="Arial" w:eastAsia="Arial" w:hAnsi="Arial"/>
                <w:sz w:val="16"/>
                <w:szCs w:val="16"/>
                <w:color w:val="auto"/>
              </w:rPr>
              <w:t>M</w:t>
            </w:r>
          </w:p>
        </w:tc>
        <w:tc>
          <w:tcPr>
            <w:tcW w:w="1100" w:type="dxa"/>
            <w:vAlign w:val="bottom"/>
          </w:tcPr>
          <w:p>
            <w:pPr>
              <w:jc w:val="center"/>
              <w:spacing w:after="0" w:line="181" w:lineRule="exact"/>
              <w:rPr>
                <w:sz w:val="20"/>
                <w:szCs w:val="20"/>
                <w:color w:val="auto"/>
              </w:rPr>
            </w:pPr>
            <w:r>
              <w:rPr>
                <w:rFonts w:ascii="Arial" w:cs="Arial" w:eastAsia="Arial" w:hAnsi="Arial"/>
                <w:sz w:val="16"/>
                <w:szCs w:val="16"/>
                <w:color w:val="auto"/>
                <w:w w:val="89"/>
              </w:rPr>
              <w:t>56</w:t>
            </w:r>
          </w:p>
        </w:tc>
        <w:tc>
          <w:tcPr>
            <w:tcW w:w="1260" w:type="dxa"/>
            <w:vAlign w:val="bottom"/>
          </w:tcPr>
          <w:p>
            <w:pPr>
              <w:ind w:left="440"/>
              <w:spacing w:after="0" w:line="181" w:lineRule="exact"/>
              <w:rPr>
                <w:sz w:val="20"/>
                <w:szCs w:val="20"/>
                <w:color w:val="auto"/>
              </w:rPr>
            </w:pPr>
            <w:r>
              <w:rPr>
                <w:rFonts w:ascii="Arial" w:cs="Arial" w:eastAsia="Arial" w:hAnsi="Arial"/>
                <w:sz w:val="16"/>
                <w:szCs w:val="16"/>
                <w:color w:val="auto"/>
              </w:rPr>
              <w:t>L</w:t>
            </w:r>
          </w:p>
        </w:tc>
        <w:tc>
          <w:tcPr>
            <w:tcW w:w="1740" w:type="dxa"/>
            <w:vAlign w:val="bottom"/>
          </w:tcPr>
          <w:p>
            <w:pPr>
              <w:jc w:val="center"/>
              <w:spacing w:after="0" w:line="181" w:lineRule="exact"/>
              <w:rPr>
                <w:sz w:val="20"/>
                <w:szCs w:val="20"/>
                <w:color w:val="auto"/>
              </w:rPr>
            </w:pPr>
            <w:r>
              <w:rPr>
                <w:rFonts w:ascii="Arial" w:cs="Arial" w:eastAsia="Arial" w:hAnsi="Arial"/>
                <w:sz w:val="16"/>
                <w:szCs w:val="16"/>
                <w:color w:val="auto"/>
                <w:w w:val="82"/>
              </w:rPr>
              <w:t>3635.01</w:t>
            </w:r>
          </w:p>
        </w:tc>
        <w:tc>
          <w:tcPr>
            <w:tcW w:w="960" w:type="dxa"/>
            <w:vAlign w:val="bottom"/>
          </w:tcPr>
          <w:p>
            <w:pPr>
              <w:jc w:val="center"/>
              <w:ind w:left="200"/>
              <w:spacing w:after="0" w:line="181" w:lineRule="exact"/>
              <w:rPr>
                <w:sz w:val="20"/>
                <w:szCs w:val="20"/>
                <w:color w:val="auto"/>
              </w:rPr>
            </w:pPr>
            <w:r>
              <w:rPr>
                <w:rFonts w:ascii="Arial" w:cs="Arial" w:eastAsia="Arial" w:hAnsi="Arial"/>
                <w:sz w:val="16"/>
                <w:szCs w:val="16"/>
                <w:color w:val="auto"/>
                <w:w w:val="89"/>
              </w:rPr>
              <w:t>3</w:t>
            </w:r>
          </w:p>
        </w:tc>
        <w:tc>
          <w:tcPr>
            <w:tcW w:w="1880" w:type="dxa"/>
            <w:vAlign w:val="bottom"/>
          </w:tcPr>
          <w:p>
            <w:pPr>
              <w:jc w:val="center"/>
              <w:spacing w:after="0" w:line="181" w:lineRule="exact"/>
              <w:rPr>
                <w:sz w:val="20"/>
                <w:szCs w:val="20"/>
                <w:color w:val="auto"/>
              </w:rPr>
            </w:pPr>
            <w:r>
              <w:rPr>
                <w:rFonts w:ascii="Arial" w:cs="Arial" w:eastAsia="Arial" w:hAnsi="Arial"/>
                <w:sz w:val="16"/>
                <w:szCs w:val="16"/>
                <w:color w:val="auto"/>
                <w:w w:val="78"/>
              </w:rPr>
              <w:t>60</w:t>
            </w:r>
          </w:p>
        </w:tc>
        <w:tc>
          <w:tcPr>
            <w:tcW w:w="640" w:type="dxa"/>
            <w:vAlign w:val="bottom"/>
          </w:tcPr>
          <w:p>
            <w:pPr>
              <w:jc w:val="right"/>
              <w:ind w:right="100"/>
              <w:spacing w:after="0" w:line="181" w:lineRule="exact"/>
              <w:rPr>
                <w:sz w:val="20"/>
                <w:szCs w:val="20"/>
                <w:color w:val="auto"/>
              </w:rPr>
            </w:pPr>
            <w:r>
              <w:rPr>
                <w:rFonts w:ascii="Arial" w:cs="Arial" w:eastAsia="Arial" w:hAnsi="Arial"/>
                <w:sz w:val="16"/>
                <w:szCs w:val="16"/>
                <w:color w:val="auto"/>
              </w:rPr>
              <w:t>168</w:t>
            </w:r>
          </w:p>
        </w:tc>
      </w:tr>
      <w:tr>
        <w:trPr>
          <w:trHeight w:val="180"/>
        </w:trPr>
        <w:tc>
          <w:tcPr>
            <w:tcW w:w="940" w:type="dxa"/>
            <w:vAlign w:val="bottom"/>
          </w:tcPr>
          <w:p>
            <w:pPr>
              <w:ind w:left="80"/>
              <w:spacing w:after="0" w:line="181" w:lineRule="exact"/>
              <w:rPr>
                <w:sz w:val="20"/>
                <w:szCs w:val="20"/>
                <w:color w:val="auto"/>
              </w:rPr>
            </w:pPr>
            <w:r>
              <w:rPr>
                <w:rFonts w:ascii="Arial" w:cs="Arial" w:eastAsia="Arial" w:hAnsi="Arial"/>
                <w:sz w:val="16"/>
                <w:szCs w:val="16"/>
                <w:color w:val="auto"/>
              </w:rPr>
              <w:t>5</w:t>
            </w:r>
          </w:p>
        </w:tc>
        <w:tc>
          <w:tcPr>
            <w:tcW w:w="1320" w:type="dxa"/>
            <w:vAlign w:val="bottom"/>
          </w:tcPr>
          <w:p>
            <w:pPr>
              <w:ind w:left="440"/>
              <w:spacing w:after="0" w:line="181" w:lineRule="exact"/>
              <w:rPr>
                <w:sz w:val="20"/>
                <w:szCs w:val="20"/>
                <w:color w:val="auto"/>
              </w:rPr>
            </w:pPr>
            <w:r>
              <w:rPr>
                <w:rFonts w:ascii="Arial" w:cs="Arial" w:eastAsia="Arial" w:hAnsi="Arial"/>
                <w:sz w:val="16"/>
                <w:szCs w:val="16"/>
                <w:color w:val="auto"/>
              </w:rPr>
              <w:t>F</w:t>
            </w:r>
          </w:p>
        </w:tc>
        <w:tc>
          <w:tcPr>
            <w:tcW w:w="1100" w:type="dxa"/>
            <w:vAlign w:val="bottom"/>
          </w:tcPr>
          <w:p>
            <w:pPr>
              <w:jc w:val="center"/>
              <w:spacing w:after="0" w:line="181" w:lineRule="exact"/>
              <w:rPr>
                <w:sz w:val="20"/>
                <w:szCs w:val="20"/>
                <w:color w:val="auto"/>
              </w:rPr>
            </w:pPr>
            <w:r>
              <w:rPr>
                <w:rFonts w:ascii="Arial" w:cs="Arial" w:eastAsia="Arial" w:hAnsi="Arial"/>
                <w:sz w:val="16"/>
                <w:szCs w:val="16"/>
                <w:color w:val="auto"/>
                <w:w w:val="89"/>
              </w:rPr>
              <w:t>76</w:t>
            </w:r>
          </w:p>
        </w:tc>
        <w:tc>
          <w:tcPr>
            <w:tcW w:w="1260" w:type="dxa"/>
            <w:vAlign w:val="bottom"/>
          </w:tcPr>
          <w:p>
            <w:pPr>
              <w:ind w:left="440"/>
              <w:spacing w:after="0" w:line="181" w:lineRule="exact"/>
              <w:rPr>
                <w:sz w:val="20"/>
                <w:szCs w:val="20"/>
                <w:color w:val="auto"/>
              </w:rPr>
            </w:pPr>
            <w:r>
              <w:rPr>
                <w:rFonts w:ascii="Arial" w:cs="Arial" w:eastAsia="Arial" w:hAnsi="Arial"/>
                <w:sz w:val="16"/>
                <w:szCs w:val="16"/>
                <w:color w:val="auto"/>
              </w:rPr>
              <w:t>R</w:t>
            </w:r>
          </w:p>
        </w:tc>
        <w:tc>
          <w:tcPr>
            <w:tcW w:w="1740" w:type="dxa"/>
            <w:vAlign w:val="bottom"/>
          </w:tcPr>
          <w:p>
            <w:pPr>
              <w:jc w:val="center"/>
              <w:spacing w:after="0" w:line="181" w:lineRule="exact"/>
              <w:rPr>
                <w:sz w:val="20"/>
                <w:szCs w:val="20"/>
                <w:color w:val="auto"/>
              </w:rPr>
            </w:pPr>
            <w:r>
              <w:rPr>
                <w:rFonts w:ascii="Arial" w:cs="Arial" w:eastAsia="Arial" w:hAnsi="Arial"/>
                <w:sz w:val="16"/>
                <w:szCs w:val="16"/>
                <w:color w:val="auto"/>
                <w:w w:val="82"/>
              </w:rPr>
              <w:t>5213.64</w:t>
            </w:r>
          </w:p>
        </w:tc>
        <w:tc>
          <w:tcPr>
            <w:tcW w:w="960" w:type="dxa"/>
            <w:vAlign w:val="bottom"/>
          </w:tcPr>
          <w:p>
            <w:pPr>
              <w:jc w:val="center"/>
              <w:ind w:left="200"/>
              <w:spacing w:after="0" w:line="181" w:lineRule="exact"/>
              <w:rPr>
                <w:sz w:val="20"/>
                <w:szCs w:val="20"/>
                <w:color w:val="auto"/>
              </w:rPr>
            </w:pPr>
            <w:r>
              <w:rPr>
                <w:rFonts w:ascii="Arial" w:cs="Arial" w:eastAsia="Arial" w:hAnsi="Arial"/>
                <w:sz w:val="16"/>
                <w:szCs w:val="16"/>
                <w:color w:val="auto"/>
                <w:w w:val="89"/>
              </w:rPr>
              <w:t>2</w:t>
            </w:r>
          </w:p>
        </w:tc>
        <w:tc>
          <w:tcPr>
            <w:tcW w:w="1880" w:type="dxa"/>
            <w:vAlign w:val="bottom"/>
          </w:tcPr>
          <w:p>
            <w:pPr>
              <w:jc w:val="center"/>
              <w:spacing w:after="0" w:line="181" w:lineRule="exact"/>
              <w:rPr>
                <w:sz w:val="20"/>
                <w:szCs w:val="20"/>
                <w:color w:val="auto"/>
              </w:rPr>
            </w:pPr>
            <w:r>
              <w:rPr>
                <w:rFonts w:ascii="Arial" w:cs="Arial" w:eastAsia="Arial" w:hAnsi="Arial"/>
                <w:sz w:val="16"/>
                <w:szCs w:val="16"/>
                <w:color w:val="auto"/>
                <w:w w:val="78"/>
              </w:rPr>
              <w:t>45</w:t>
            </w:r>
          </w:p>
        </w:tc>
        <w:tc>
          <w:tcPr>
            <w:tcW w:w="640" w:type="dxa"/>
            <w:vAlign w:val="bottom"/>
          </w:tcPr>
          <w:p>
            <w:pPr>
              <w:jc w:val="right"/>
              <w:ind w:right="100"/>
              <w:spacing w:after="0" w:line="181" w:lineRule="exact"/>
              <w:rPr>
                <w:sz w:val="20"/>
                <w:szCs w:val="20"/>
                <w:color w:val="auto"/>
              </w:rPr>
            </w:pPr>
            <w:r>
              <w:rPr>
                <w:rFonts w:ascii="Arial" w:cs="Arial" w:eastAsia="Arial" w:hAnsi="Arial"/>
                <w:sz w:val="16"/>
                <w:szCs w:val="16"/>
                <w:color w:val="auto"/>
              </w:rPr>
              <w:t>126</w:t>
            </w:r>
          </w:p>
        </w:tc>
      </w:tr>
      <w:tr>
        <w:trPr>
          <w:trHeight w:val="179"/>
        </w:trPr>
        <w:tc>
          <w:tcPr>
            <w:tcW w:w="940" w:type="dxa"/>
            <w:vAlign w:val="bottom"/>
          </w:tcPr>
          <w:p>
            <w:pPr>
              <w:ind w:left="80"/>
              <w:spacing w:after="0" w:line="180" w:lineRule="exact"/>
              <w:rPr>
                <w:sz w:val="20"/>
                <w:szCs w:val="20"/>
                <w:color w:val="auto"/>
              </w:rPr>
            </w:pPr>
            <w:r>
              <w:rPr>
                <w:rFonts w:ascii="Arial" w:cs="Arial" w:eastAsia="Arial" w:hAnsi="Arial"/>
                <w:sz w:val="16"/>
                <w:szCs w:val="16"/>
                <w:color w:val="auto"/>
              </w:rPr>
              <w:t>6</w:t>
            </w:r>
          </w:p>
        </w:tc>
        <w:tc>
          <w:tcPr>
            <w:tcW w:w="1320" w:type="dxa"/>
            <w:vAlign w:val="bottom"/>
          </w:tcPr>
          <w:p>
            <w:pPr>
              <w:ind w:left="440"/>
              <w:spacing w:after="0" w:line="180" w:lineRule="exact"/>
              <w:rPr>
                <w:sz w:val="20"/>
                <w:szCs w:val="20"/>
                <w:color w:val="auto"/>
              </w:rPr>
            </w:pPr>
            <w:r>
              <w:rPr>
                <w:rFonts w:ascii="Arial" w:cs="Arial" w:eastAsia="Arial" w:hAnsi="Arial"/>
                <w:sz w:val="16"/>
                <w:szCs w:val="16"/>
                <w:color w:val="auto"/>
              </w:rPr>
              <w:t>F</w:t>
            </w:r>
          </w:p>
        </w:tc>
        <w:tc>
          <w:tcPr>
            <w:tcW w:w="1100" w:type="dxa"/>
            <w:vAlign w:val="bottom"/>
          </w:tcPr>
          <w:p>
            <w:pPr>
              <w:jc w:val="center"/>
              <w:spacing w:after="0" w:line="180" w:lineRule="exact"/>
              <w:rPr>
                <w:sz w:val="20"/>
                <w:szCs w:val="20"/>
                <w:color w:val="auto"/>
              </w:rPr>
            </w:pPr>
            <w:r>
              <w:rPr>
                <w:rFonts w:ascii="Arial" w:cs="Arial" w:eastAsia="Arial" w:hAnsi="Arial"/>
                <w:sz w:val="16"/>
                <w:szCs w:val="16"/>
                <w:color w:val="auto"/>
                <w:w w:val="89"/>
              </w:rPr>
              <w:t>72</w:t>
            </w:r>
          </w:p>
        </w:tc>
        <w:tc>
          <w:tcPr>
            <w:tcW w:w="1260" w:type="dxa"/>
            <w:vAlign w:val="bottom"/>
          </w:tcPr>
          <w:p>
            <w:pPr>
              <w:ind w:left="440"/>
              <w:spacing w:after="0" w:line="180" w:lineRule="exact"/>
              <w:rPr>
                <w:sz w:val="20"/>
                <w:szCs w:val="20"/>
                <w:color w:val="auto"/>
              </w:rPr>
            </w:pPr>
            <w:r>
              <w:rPr>
                <w:rFonts w:ascii="Arial" w:cs="Arial" w:eastAsia="Arial" w:hAnsi="Arial"/>
                <w:sz w:val="16"/>
                <w:szCs w:val="16"/>
                <w:color w:val="auto"/>
              </w:rPr>
              <w:t>R</w:t>
            </w:r>
          </w:p>
        </w:tc>
        <w:tc>
          <w:tcPr>
            <w:tcW w:w="1740" w:type="dxa"/>
            <w:vAlign w:val="bottom"/>
          </w:tcPr>
          <w:p>
            <w:pPr>
              <w:jc w:val="center"/>
              <w:spacing w:after="0" w:line="180" w:lineRule="exact"/>
              <w:rPr>
                <w:sz w:val="20"/>
                <w:szCs w:val="20"/>
                <w:color w:val="auto"/>
              </w:rPr>
            </w:pPr>
            <w:r>
              <w:rPr>
                <w:rFonts w:ascii="Arial" w:cs="Arial" w:eastAsia="Arial" w:hAnsi="Arial"/>
                <w:sz w:val="16"/>
                <w:szCs w:val="16"/>
                <w:color w:val="auto"/>
                <w:w w:val="82"/>
              </w:rPr>
              <w:t>3315.25</w:t>
            </w:r>
          </w:p>
        </w:tc>
        <w:tc>
          <w:tcPr>
            <w:tcW w:w="960" w:type="dxa"/>
            <w:vAlign w:val="bottom"/>
          </w:tcPr>
          <w:p>
            <w:pPr>
              <w:jc w:val="center"/>
              <w:ind w:left="200"/>
              <w:spacing w:after="0" w:line="180" w:lineRule="exact"/>
              <w:rPr>
                <w:sz w:val="20"/>
                <w:szCs w:val="20"/>
                <w:color w:val="auto"/>
              </w:rPr>
            </w:pPr>
            <w:r>
              <w:rPr>
                <w:rFonts w:ascii="Arial" w:cs="Arial" w:eastAsia="Arial" w:hAnsi="Arial"/>
                <w:sz w:val="16"/>
                <w:szCs w:val="16"/>
                <w:color w:val="auto"/>
                <w:w w:val="89"/>
              </w:rPr>
              <w:t>4</w:t>
            </w:r>
          </w:p>
        </w:tc>
        <w:tc>
          <w:tcPr>
            <w:tcW w:w="1880" w:type="dxa"/>
            <w:vAlign w:val="bottom"/>
          </w:tcPr>
          <w:p>
            <w:pPr>
              <w:jc w:val="center"/>
              <w:spacing w:after="0" w:line="180" w:lineRule="exact"/>
              <w:rPr>
                <w:sz w:val="20"/>
                <w:szCs w:val="20"/>
                <w:color w:val="auto"/>
              </w:rPr>
            </w:pPr>
            <w:r>
              <w:rPr>
                <w:rFonts w:ascii="Arial" w:cs="Arial" w:eastAsia="Arial" w:hAnsi="Arial"/>
                <w:sz w:val="16"/>
                <w:szCs w:val="16"/>
                <w:color w:val="auto"/>
                <w:w w:val="78"/>
              </w:rPr>
              <w:t>36</w:t>
            </w:r>
          </w:p>
        </w:tc>
        <w:tc>
          <w:tcPr>
            <w:tcW w:w="640" w:type="dxa"/>
            <w:vAlign w:val="bottom"/>
          </w:tcPr>
          <w:p>
            <w:pPr>
              <w:jc w:val="right"/>
              <w:ind w:right="100"/>
              <w:spacing w:after="0" w:line="180" w:lineRule="exact"/>
              <w:rPr>
                <w:sz w:val="20"/>
                <w:szCs w:val="20"/>
                <w:color w:val="auto"/>
              </w:rPr>
            </w:pPr>
            <w:r>
              <w:rPr>
                <w:rFonts w:ascii="Arial" w:cs="Arial" w:eastAsia="Arial" w:hAnsi="Arial"/>
                <w:sz w:val="16"/>
                <w:szCs w:val="16"/>
                <w:color w:val="auto"/>
              </w:rPr>
              <w:t>117</w:t>
            </w:r>
          </w:p>
        </w:tc>
      </w:tr>
      <w:tr>
        <w:trPr>
          <w:trHeight w:val="178"/>
        </w:trPr>
        <w:tc>
          <w:tcPr>
            <w:tcW w:w="940" w:type="dxa"/>
            <w:vAlign w:val="bottom"/>
          </w:tcPr>
          <w:p>
            <w:pPr>
              <w:ind w:left="80"/>
              <w:spacing w:after="0" w:line="178" w:lineRule="exact"/>
              <w:rPr>
                <w:sz w:val="20"/>
                <w:szCs w:val="20"/>
                <w:color w:val="auto"/>
              </w:rPr>
            </w:pPr>
            <w:r>
              <w:rPr>
                <w:rFonts w:ascii="Arial" w:cs="Arial" w:eastAsia="Arial" w:hAnsi="Arial"/>
                <w:sz w:val="16"/>
                <w:szCs w:val="16"/>
                <w:color w:val="auto"/>
              </w:rPr>
              <w:t>7</w:t>
            </w:r>
          </w:p>
        </w:tc>
        <w:tc>
          <w:tcPr>
            <w:tcW w:w="1320" w:type="dxa"/>
            <w:vAlign w:val="bottom"/>
          </w:tcPr>
          <w:p>
            <w:pPr>
              <w:ind w:left="440"/>
              <w:spacing w:after="0" w:line="178" w:lineRule="exact"/>
              <w:rPr>
                <w:sz w:val="20"/>
                <w:szCs w:val="20"/>
                <w:color w:val="auto"/>
              </w:rPr>
            </w:pPr>
            <w:r>
              <w:rPr>
                <w:rFonts w:ascii="Arial" w:cs="Arial" w:eastAsia="Arial" w:hAnsi="Arial"/>
                <w:sz w:val="16"/>
                <w:szCs w:val="16"/>
                <w:color w:val="auto"/>
              </w:rPr>
              <w:t>M</w:t>
            </w:r>
          </w:p>
        </w:tc>
        <w:tc>
          <w:tcPr>
            <w:tcW w:w="1100" w:type="dxa"/>
            <w:vAlign w:val="bottom"/>
          </w:tcPr>
          <w:p>
            <w:pPr>
              <w:jc w:val="center"/>
              <w:spacing w:after="0" w:line="178" w:lineRule="exact"/>
              <w:rPr>
                <w:sz w:val="20"/>
                <w:szCs w:val="20"/>
                <w:color w:val="auto"/>
              </w:rPr>
            </w:pPr>
            <w:r>
              <w:rPr>
                <w:rFonts w:ascii="Arial" w:cs="Arial" w:eastAsia="Arial" w:hAnsi="Arial"/>
                <w:sz w:val="16"/>
                <w:szCs w:val="16"/>
                <w:color w:val="auto"/>
                <w:w w:val="89"/>
              </w:rPr>
              <w:t>60</w:t>
            </w:r>
          </w:p>
        </w:tc>
        <w:tc>
          <w:tcPr>
            <w:tcW w:w="1260" w:type="dxa"/>
            <w:vAlign w:val="bottom"/>
          </w:tcPr>
          <w:p>
            <w:pPr>
              <w:ind w:left="440"/>
              <w:spacing w:after="0" w:line="178" w:lineRule="exact"/>
              <w:rPr>
                <w:sz w:val="20"/>
                <w:szCs w:val="20"/>
                <w:color w:val="auto"/>
              </w:rPr>
            </w:pPr>
            <w:r>
              <w:rPr>
                <w:rFonts w:ascii="Arial" w:cs="Arial" w:eastAsia="Arial" w:hAnsi="Arial"/>
                <w:sz w:val="16"/>
                <w:szCs w:val="16"/>
                <w:color w:val="auto"/>
              </w:rPr>
              <w:t>R</w:t>
            </w:r>
          </w:p>
        </w:tc>
        <w:tc>
          <w:tcPr>
            <w:tcW w:w="1740" w:type="dxa"/>
            <w:vAlign w:val="bottom"/>
          </w:tcPr>
          <w:p>
            <w:pPr>
              <w:jc w:val="center"/>
              <w:spacing w:after="0" w:line="178" w:lineRule="exact"/>
              <w:rPr>
                <w:sz w:val="20"/>
                <w:szCs w:val="20"/>
                <w:color w:val="auto"/>
              </w:rPr>
            </w:pPr>
            <w:r>
              <w:rPr>
                <w:rFonts w:ascii="Arial" w:cs="Arial" w:eastAsia="Arial" w:hAnsi="Arial"/>
                <w:sz w:val="16"/>
                <w:szCs w:val="16"/>
                <w:color w:val="auto"/>
                <w:w w:val="82"/>
              </w:rPr>
              <w:t>4320.76</w:t>
            </w:r>
          </w:p>
        </w:tc>
        <w:tc>
          <w:tcPr>
            <w:tcW w:w="960" w:type="dxa"/>
            <w:vAlign w:val="bottom"/>
          </w:tcPr>
          <w:p>
            <w:pPr>
              <w:jc w:val="center"/>
              <w:ind w:left="200"/>
              <w:spacing w:after="0" w:line="178" w:lineRule="exact"/>
              <w:rPr>
                <w:sz w:val="20"/>
                <w:szCs w:val="20"/>
                <w:color w:val="auto"/>
              </w:rPr>
            </w:pPr>
            <w:r>
              <w:rPr>
                <w:rFonts w:ascii="Arial" w:cs="Arial" w:eastAsia="Arial" w:hAnsi="Arial"/>
                <w:sz w:val="16"/>
                <w:szCs w:val="16"/>
                <w:color w:val="auto"/>
                <w:w w:val="89"/>
              </w:rPr>
              <w:t>1</w:t>
            </w:r>
          </w:p>
        </w:tc>
        <w:tc>
          <w:tcPr>
            <w:tcW w:w="1880" w:type="dxa"/>
            <w:vAlign w:val="bottom"/>
          </w:tcPr>
          <w:p>
            <w:pPr>
              <w:jc w:val="center"/>
              <w:spacing w:after="0" w:line="178" w:lineRule="exact"/>
              <w:rPr>
                <w:sz w:val="20"/>
                <w:szCs w:val="20"/>
                <w:color w:val="auto"/>
              </w:rPr>
            </w:pPr>
            <w:r>
              <w:rPr>
                <w:rFonts w:ascii="Arial" w:cs="Arial" w:eastAsia="Arial" w:hAnsi="Arial"/>
                <w:sz w:val="16"/>
                <w:szCs w:val="16"/>
                <w:color w:val="auto"/>
                <w:w w:val="78"/>
              </w:rPr>
              <w:t>43</w:t>
            </w:r>
          </w:p>
        </w:tc>
        <w:tc>
          <w:tcPr>
            <w:tcW w:w="640" w:type="dxa"/>
            <w:vAlign w:val="bottom"/>
          </w:tcPr>
          <w:p>
            <w:pPr>
              <w:jc w:val="right"/>
              <w:ind w:right="100"/>
              <w:spacing w:after="0" w:line="178" w:lineRule="exact"/>
              <w:rPr>
                <w:sz w:val="20"/>
                <w:szCs w:val="20"/>
                <w:color w:val="auto"/>
              </w:rPr>
            </w:pPr>
            <w:r>
              <w:rPr>
                <w:rFonts w:ascii="Arial" w:cs="Arial" w:eastAsia="Arial" w:hAnsi="Arial"/>
                <w:sz w:val="16"/>
                <w:szCs w:val="16"/>
                <w:color w:val="auto"/>
              </w:rPr>
              <w:t>110</w:t>
            </w:r>
          </w:p>
        </w:tc>
      </w:tr>
      <w:tr>
        <w:trPr>
          <w:trHeight w:val="180"/>
        </w:trPr>
        <w:tc>
          <w:tcPr>
            <w:tcW w:w="940" w:type="dxa"/>
            <w:vAlign w:val="bottom"/>
          </w:tcPr>
          <w:p>
            <w:pPr>
              <w:ind w:left="80"/>
              <w:spacing w:after="0" w:line="181" w:lineRule="exact"/>
              <w:rPr>
                <w:sz w:val="20"/>
                <w:szCs w:val="20"/>
                <w:color w:val="auto"/>
              </w:rPr>
            </w:pPr>
            <w:r>
              <w:rPr>
                <w:rFonts w:ascii="Arial" w:cs="Arial" w:eastAsia="Arial" w:hAnsi="Arial"/>
                <w:sz w:val="16"/>
                <w:szCs w:val="16"/>
                <w:color w:val="auto"/>
              </w:rPr>
              <w:t>8</w:t>
            </w:r>
          </w:p>
        </w:tc>
        <w:tc>
          <w:tcPr>
            <w:tcW w:w="1320" w:type="dxa"/>
            <w:vAlign w:val="bottom"/>
          </w:tcPr>
          <w:p>
            <w:pPr>
              <w:ind w:left="440"/>
              <w:spacing w:after="0" w:line="181" w:lineRule="exact"/>
              <w:rPr>
                <w:sz w:val="20"/>
                <w:szCs w:val="20"/>
                <w:color w:val="auto"/>
              </w:rPr>
            </w:pPr>
            <w:r>
              <w:rPr>
                <w:rFonts w:ascii="Arial" w:cs="Arial" w:eastAsia="Arial" w:hAnsi="Arial"/>
                <w:sz w:val="16"/>
                <w:szCs w:val="16"/>
                <w:color w:val="auto"/>
              </w:rPr>
              <w:t>M</w:t>
            </w:r>
          </w:p>
        </w:tc>
        <w:tc>
          <w:tcPr>
            <w:tcW w:w="1100" w:type="dxa"/>
            <w:vAlign w:val="bottom"/>
          </w:tcPr>
          <w:p>
            <w:pPr>
              <w:jc w:val="center"/>
              <w:spacing w:after="0" w:line="181" w:lineRule="exact"/>
              <w:rPr>
                <w:sz w:val="20"/>
                <w:szCs w:val="20"/>
                <w:color w:val="auto"/>
              </w:rPr>
            </w:pPr>
            <w:r>
              <w:rPr>
                <w:rFonts w:ascii="Arial" w:cs="Arial" w:eastAsia="Arial" w:hAnsi="Arial"/>
                <w:sz w:val="16"/>
                <w:szCs w:val="16"/>
                <w:color w:val="auto"/>
                <w:w w:val="89"/>
              </w:rPr>
              <w:t>69</w:t>
            </w:r>
          </w:p>
        </w:tc>
        <w:tc>
          <w:tcPr>
            <w:tcW w:w="1260" w:type="dxa"/>
            <w:vAlign w:val="bottom"/>
          </w:tcPr>
          <w:p>
            <w:pPr>
              <w:ind w:left="440"/>
              <w:spacing w:after="0" w:line="181" w:lineRule="exact"/>
              <w:rPr>
                <w:sz w:val="20"/>
                <w:szCs w:val="20"/>
                <w:color w:val="auto"/>
              </w:rPr>
            </w:pPr>
            <w:r>
              <w:rPr>
                <w:rFonts w:ascii="Arial" w:cs="Arial" w:eastAsia="Arial" w:hAnsi="Arial"/>
                <w:sz w:val="16"/>
                <w:szCs w:val="16"/>
                <w:color w:val="auto"/>
              </w:rPr>
              <w:t>R</w:t>
            </w:r>
          </w:p>
        </w:tc>
        <w:tc>
          <w:tcPr>
            <w:tcW w:w="1740" w:type="dxa"/>
            <w:vAlign w:val="bottom"/>
          </w:tcPr>
          <w:p>
            <w:pPr>
              <w:jc w:val="center"/>
              <w:spacing w:after="0" w:line="181" w:lineRule="exact"/>
              <w:rPr>
                <w:sz w:val="20"/>
                <w:szCs w:val="20"/>
                <w:color w:val="auto"/>
              </w:rPr>
            </w:pPr>
            <w:r>
              <w:rPr>
                <w:rFonts w:ascii="Arial" w:cs="Arial" w:eastAsia="Arial" w:hAnsi="Arial"/>
                <w:sz w:val="16"/>
                <w:szCs w:val="16"/>
                <w:color w:val="auto"/>
                <w:w w:val="82"/>
              </w:rPr>
              <w:t>2880.33</w:t>
            </w:r>
          </w:p>
        </w:tc>
        <w:tc>
          <w:tcPr>
            <w:tcW w:w="960" w:type="dxa"/>
            <w:vAlign w:val="bottom"/>
          </w:tcPr>
          <w:p>
            <w:pPr>
              <w:jc w:val="center"/>
              <w:ind w:left="200"/>
              <w:spacing w:after="0" w:line="181" w:lineRule="exact"/>
              <w:rPr>
                <w:sz w:val="20"/>
                <w:szCs w:val="20"/>
                <w:color w:val="auto"/>
              </w:rPr>
            </w:pPr>
            <w:r>
              <w:rPr>
                <w:rFonts w:ascii="Arial" w:cs="Arial" w:eastAsia="Arial" w:hAnsi="Arial"/>
                <w:sz w:val="16"/>
                <w:szCs w:val="16"/>
                <w:color w:val="auto"/>
                <w:w w:val="89"/>
              </w:rPr>
              <w:t>3</w:t>
            </w:r>
          </w:p>
        </w:tc>
        <w:tc>
          <w:tcPr>
            <w:tcW w:w="1880" w:type="dxa"/>
            <w:vAlign w:val="bottom"/>
          </w:tcPr>
          <w:p>
            <w:pPr>
              <w:jc w:val="center"/>
              <w:spacing w:after="0" w:line="181" w:lineRule="exact"/>
              <w:rPr>
                <w:sz w:val="20"/>
                <w:szCs w:val="20"/>
                <w:color w:val="auto"/>
              </w:rPr>
            </w:pPr>
            <w:r>
              <w:rPr>
                <w:rFonts w:ascii="Arial" w:cs="Arial" w:eastAsia="Arial" w:hAnsi="Arial"/>
                <w:sz w:val="16"/>
                <w:szCs w:val="16"/>
                <w:color w:val="auto"/>
                <w:w w:val="78"/>
              </w:rPr>
              <w:t>41</w:t>
            </w:r>
          </w:p>
        </w:tc>
        <w:tc>
          <w:tcPr>
            <w:tcW w:w="640" w:type="dxa"/>
            <w:vAlign w:val="bottom"/>
          </w:tcPr>
          <w:p>
            <w:pPr>
              <w:jc w:val="right"/>
              <w:ind w:right="100"/>
              <w:spacing w:after="0" w:line="181" w:lineRule="exact"/>
              <w:rPr>
                <w:sz w:val="20"/>
                <w:szCs w:val="20"/>
                <w:color w:val="auto"/>
              </w:rPr>
            </w:pPr>
            <w:r>
              <w:rPr>
                <w:rFonts w:ascii="Arial" w:cs="Arial" w:eastAsia="Arial" w:hAnsi="Arial"/>
                <w:sz w:val="16"/>
                <w:szCs w:val="16"/>
                <w:color w:val="auto"/>
              </w:rPr>
              <w:t>103</w:t>
            </w:r>
          </w:p>
        </w:tc>
      </w:tr>
      <w:tr>
        <w:trPr>
          <w:trHeight w:val="182"/>
        </w:trPr>
        <w:tc>
          <w:tcPr>
            <w:tcW w:w="940" w:type="dxa"/>
            <w:vAlign w:val="bottom"/>
          </w:tcPr>
          <w:p>
            <w:pPr>
              <w:ind w:left="80"/>
              <w:spacing w:after="0" w:line="182" w:lineRule="exact"/>
              <w:rPr>
                <w:sz w:val="20"/>
                <w:szCs w:val="20"/>
                <w:color w:val="auto"/>
              </w:rPr>
            </w:pPr>
            <w:r>
              <w:rPr>
                <w:rFonts w:ascii="Arial" w:cs="Arial" w:eastAsia="Arial" w:hAnsi="Arial"/>
                <w:sz w:val="16"/>
                <w:szCs w:val="16"/>
                <w:color w:val="auto"/>
              </w:rPr>
              <w:t>9</w:t>
            </w:r>
          </w:p>
        </w:tc>
        <w:tc>
          <w:tcPr>
            <w:tcW w:w="1320" w:type="dxa"/>
            <w:vAlign w:val="bottom"/>
          </w:tcPr>
          <w:p>
            <w:pPr>
              <w:ind w:left="440"/>
              <w:spacing w:after="0" w:line="182" w:lineRule="exact"/>
              <w:rPr>
                <w:sz w:val="20"/>
                <w:szCs w:val="20"/>
                <w:color w:val="auto"/>
              </w:rPr>
            </w:pPr>
            <w:r>
              <w:rPr>
                <w:rFonts w:ascii="Arial" w:cs="Arial" w:eastAsia="Arial" w:hAnsi="Arial"/>
                <w:sz w:val="16"/>
                <w:szCs w:val="16"/>
                <w:color w:val="auto"/>
              </w:rPr>
              <w:t>F</w:t>
            </w:r>
          </w:p>
        </w:tc>
        <w:tc>
          <w:tcPr>
            <w:tcW w:w="1100" w:type="dxa"/>
            <w:vAlign w:val="bottom"/>
          </w:tcPr>
          <w:p>
            <w:pPr>
              <w:jc w:val="center"/>
              <w:spacing w:after="0" w:line="182" w:lineRule="exact"/>
              <w:rPr>
                <w:sz w:val="20"/>
                <w:szCs w:val="20"/>
                <w:color w:val="auto"/>
              </w:rPr>
            </w:pPr>
            <w:r>
              <w:rPr>
                <w:rFonts w:ascii="Arial" w:cs="Arial" w:eastAsia="Arial" w:hAnsi="Arial"/>
                <w:sz w:val="16"/>
                <w:szCs w:val="16"/>
                <w:color w:val="auto"/>
                <w:w w:val="89"/>
              </w:rPr>
              <w:t>65</w:t>
            </w:r>
          </w:p>
        </w:tc>
        <w:tc>
          <w:tcPr>
            <w:tcW w:w="1260" w:type="dxa"/>
            <w:vAlign w:val="bottom"/>
          </w:tcPr>
          <w:p>
            <w:pPr>
              <w:ind w:left="440"/>
              <w:spacing w:after="0" w:line="182" w:lineRule="exact"/>
              <w:rPr>
                <w:sz w:val="20"/>
                <w:szCs w:val="20"/>
                <w:color w:val="auto"/>
              </w:rPr>
            </w:pPr>
            <w:r>
              <w:rPr>
                <w:rFonts w:ascii="Arial" w:cs="Arial" w:eastAsia="Arial" w:hAnsi="Arial"/>
                <w:sz w:val="16"/>
                <w:szCs w:val="16"/>
                <w:color w:val="auto"/>
              </w:rPr>
              <w:t>L</w:t>
            </w:r>
          </w:p>
        </w:tc>
        <w:tc>
          <w:tcPr>
            <w:tcW w:w="1740" w:type="dxa"/>
            <w:vAlign w:val="bottom"/>
          </w:tcPr>
          <w:p>
            <w:pPr>
              <w:jc w:val="center"/>
              <w:spacing w:after="0" w:line="182" w:lineRule="exact"/>
              <w:rPr>
                <w:sz w:val="20"/>
                <w:szCs w:val="20"/>
                <w:color w:val="auto"/>
              </w:rPr>
            </w:pPr>
            <w:r>
              <w:rPr>
                <w:rFonts w:ascii="Arial" w:cs="Arial" w:eastAsia="Arial" w:hAnsi="Arial"/>
                <w:sz w:val="16"/>
                <w:szCs w:val="16"/>
                <w:color w:val="auto"/>
                <w:w w:val="82"/>
              </w:rPr>
              <w:t>2633.54</w:t>
            </w:r>
          </w:p>
        </w:tc>
        <w:tc>
          <w:tcPr>
            <w:tcW w:w="960" w:type="dxa"/>
            <w:vAlign w:val="bottom"/>
          </w:tcPr>
          <w:p>
            <w:pPr>
              <w:jc w:val="center"/>
              <w:ind w:left="200"/>
              <w:spacing w:after="0" w:line="182" w:lineRule="exact"/>
              <w:rPr>
                <w:sz w:val="20"/>
                <w:szCs w:val="20"/>
                <w:color w:val="auto"/>
              </w:rPr>
            </w:pPr>
            <w:r>
              <w:rPr>
                <w:rFonts w:ascii="Arial" w:cs="Arial" w:eastAsia="Arial" w:hAnsi="Arial"/>
                <w:sz w:val="16"/>
                <w:szCs w:val="16"/>
                <w:color w:val="auto"/>
                <w:w w:val="89"/>
              </w:rPr>
              <w:t>2</w:t>
            </w:r>
          </w:p>
        </w:tc>
        <w:tc>
          <w:tcPr>
            <w:tcW w:w="1880" w:type="dxa"/>
            <w:vAlign w:val="bottom"/>
          </w:tcPr>
          <w:p>
            <w:pPr>
              <w:jc w:val="center"/>
              <w:spacing w:after="0" w:line="182" w:lineRule="exact"/>
              <w:rPr>
                <w:sz w:val="20"/>
                <w:szCs w:val="20"/>
                <w:color w:val="auto"/>
              </w:rPr>
            </w:pPr>
            <w:r>
              <w:rPr>
                <w:rFonts w:ascii="Arial" w:cs="Arial" w:eastAsia="Arial" w:hAnsi="Arial"/>
                <w:sz w:val="16"/>
                <w:szCs w:val="16"/>
                <w:color w:val="auto"/>
                <w:w w:val="78"/>
              </w:rPr>
              <w:t>37</w:t>
            </w:r>
          </w:p>
        </w:tc>
        <w:tc>
          <w:tcPr>
            <w:tcW w:w="640" w:type="dxa"/>
            <w:vAlign w:val="bottom"/>
          </w:tcPr>
          <w:p>
            <w:pPr>
              <w:jc w:val="right"/>
              <w:ind w:right="100"/>
              <w:spacing w:after="0" w:line="182" w:lineRule="exact"/>
              <w:rPr>
                <w:sz w:val="20"/>
                <w:szCs w:val="20"/>
                <w:color w:val="auto"/>
              </w:rPr>
            </w:pPr>
            <w:r>
              <w:rPr>
                <w:rFonts w:ascii="Arial" w:cs="Arial" w:eastAsia="Arial" w:hAnsi="Arial"/>
                <w:sz w:val="16"/>
                <w:szCs w:val="16"/>
                <w:color w:val="auto"/>
              </w:rPr>
              <w:t>97</w:t>
            </w:r>
          </w:p>
        </w:tc>
      </w:tr>
      <w:tr>
        <w:trPr>
          <w:trHeight w:val="179"/>
        </w:trPr>
        <w:tc>
          <w:tcPr>
            <w:tcW w:w="940" w:type="dxa"/>
            <w:vAlign w:val="bottom"/>
          </w:tcPr>
          <w:p>
            <w:pPr>
              <w:ind w:left="80"/>
              <w:spacing w:after="0" w:line="180" w:lineRule="exact"/>
              <w:rPr>
                <w:sz w:val="20"/>
                <w:szCs w:val="20"/>
                <w:color w:val="auto"/>
              </w:rPr>
            </w:pPr>
            <w:r>
              <w:rPr>
                <w:rFonts w:ascii="Arial" w:cs="Arial" w:eastAsia="Arial" w:hAnsi="Arial"/>
                <w:sz w:val="16"/>
                <w:szCs w:val="16"/>
                <w:color w:val="auto"/>
              </w:rPr>
              <w:t>10</w:t>
            </w:r>
          </w:p>
        </w:tc>
        <w:tc>
          <w:tcPr>
            <w:tcW w:w="1320" w:type="dxa"/>
            <w:vAlign w:val="bottom"/>
          </w:tcPr>
          <w:p>
            <w:pPr>
              <w:ind w:left="440"/>
              <w:spacing w:after="0" w:line="180" w:lineRule="exact"/>
              <w:rPr>
                <w:sz w:val="20"/>
                <w:szCs w:val="20"/>
                <w:color w:val="auto"/>
              </w:rPr>
            </w:pPr>
            <w:r>
              <w:rPr>
                <w:rFonts w:ascii="Arial" w:cs="Arial" w:eastAsia="Arial" w:hAnsi="Arial"/>
                <w:sz w:val="16"/>
                <w:szCs w:val="16"/>
                <w:color w:val="auto"/>
              </w:rPr>
              <w:t>F</w:t>
            </w:r>
          </w:p>
        </w:tc>
        <w:tc>
          <w:tcPr>
            <w:tcW w:w="1100" w:type="dxa"/>
            <w:vAlign w:val="bottom"/>
          </w:tcPr>
          <w:p>
            <w:pPr>
              <w:jc w:val="center"/>
              <w:spacing w:after="0" w:line="180" w:lineRule="exact"/>
              <w:rPr>
                <w:sz w:val="20"/>
                <w:szCs w:val="20"/>
                <w:color w:val="auto"/>
              </w:rPr>
            </w:pPr>
            <w:r>
              <w:rPr>
                <w:rFonts w:ascii="Arial" w:cs="Arial" w:eastAsia="Arial" w:hAnsi="Arial"/>
                <w:sz w:val="16"/>
                <w:szCs w:val="16"/>
                <w:color w:val="auto"/>
                <w:w w:val="89"/>
              </w:rPr>
              <w:t>48</w:t>
            </w:r>
          </w:p>
        </w:tc>
        <w:tc>
          <w:tcPr>
            <w:tcW w:w="1260" w:type="dxa"/>
            <w:vAlign w:val="bottom"/>
          </w:tcPr>
          <w:p>
            <w:pPr>
              <w:ind w:left="440"/>
              <w:spacing w:after="0" w:line="180" w:lineRule="exact"/>
              <w:rPr>
                <w:sz w:val="20"/>
                <w:szCs w:val="20"/>
                <w:color w:val="auto"/>
              </w:rPr>
            </w:pPr>
            <w:r>
              <w:rPr>
                <w:rFonts w:ascii="Arial" w:cs="Arial" w:eastAsia="Arial" w:hAnsi="Arial"/>
                <w:sz w:val="16"/>
                <w:szCs w:val="16"/>
                <w:color w:val="auto"/>
              </w:rPr>
              <w:t>R</w:t>
            </w:r>
          </w:p>
        </w:tc>
        <w:tc>
          <w:tcPr>
            <w:tcW w:w="1740" w:type="dxa"/>
            <w:vAlign w:val="bottom"/>
          </w:tcPr>
          <w:p>
            <w:pPr>
              <w:jc w:val="center"/>
              <w:spacing w:after="0" w:line="180" w:lineRule="exact"/>
              <w:rPr>
                <w:sz w:val="20"/>
                <w:szCs w:val="20"/>
                <w:color w:val="auto"/>
              </w:rPr>
            </w:pPr>
            <w:r>
              <w:rPr>
                <w:rFonts w:ascii="Arial" w:cs="Arial" w:eastAsia="Arial" w:hAnsi="Arial"/>
                <w:sz w:val="16"/>
                <w:szCs w:val="16"/>
                <w:color w:val="auto"/>
                <w:w w:val="82"/>
              </w:rPr>
              <w:t>2455.59</w:t>
            </w:r>
          </w:p>
        </w:tc>
        <w:tc>
          <w:tcPr>
            <w:tcW w:w="960" w:type="dxa"/>
            <w:vAlign w:val="bottom"/>
          </w:tcPr>
          <w:p>
            <w:pPr>
              <w:jc w:val="center"/>
              <w:ind w:left="200"/>
              <w:spacing w:after="0" w:line="180" w:lineRule="exact"/>
              <w:rPr>
                <w:sz w:val="20"/>
                <w:szCs w:val="20"/>
                <w:color w:val="auto"/>
              </w:rPr>
            </w:pPr>
            <w:r>
              <w:rPr>
                <w:rFonts w:ascii="Arial" w:cs="Arial" w:eastAsia="Arial" w:hAnsi="Arial"/>
                <w:sz w:val="16"/>
                <w:szCs w:val="16"/>
                <w:color w:val="auto"/>
                <w:w w:val="89"/>
              </w:rPr>
              <w:t>2</w:t>
            </w:r>
          </w:p>
        </w:tc>
        <w:tc>
          <w:tcPr>
            <w:tcW w:w="1880" w:type="dxa"/>
            <w:vAlign w:val="bottom"/>
          </w:tcPr>
          <w:p>
            <w:pPr>
              <w:jc w:val="center"/>
              <w:spacing w:after="0" w:line="180" w:lineRule="exact"/>
              <w:rPr>
                <w:sz w:val="20"/>
                <w:szCs w:val="20"/>
                <w:color w:val="auto"/>
              </w:rPr>
            </w:pPr>
            <w:r>
              <w:rPr>
                <w:rFonts w:ascii="Arial" w:cs="Arial" w:eastAsia="Arial" w:hAnsi="Arial"/>
                <w:sz w:val="16"/>
                <w:szCs w:val="16"/>
                <w:color w:val="auto"/>
                <w:w w:val="78"/>
              </w:rPr>
              <w:t>36</w:t>
            </w:r>
          </w:p>
        </w:tc>
        <w:tc>
          <w:tcPr>
            <w:tcW w:w="640" w:type="dxa"/>
            <w:vAlign w:val="bottom"/>
          </w:tcPr>
          <w:p>
            <w:pPr>
              <w:jc w:val="right"/>
              <w:ind w:right="100"/>
              <w:spacing w:after="0" w:line="180" w:lineRule="exact"/>
              <w:rPr>
                <w:sz w:val="20"/>
                <w:szCs w:val="20"/>
                <w:color w:val="auto"/>
              </w:rPr>
            </w:pPr>
            <w:r>
              <w:rPr>
                <w:rFonts w:ascii="Arial" w:cs="Arial" w:eastAsia="Arial" w:hAnsi="Arial"/>
                <w:sz w:val="16"/>
                <w:szCs w:val="16"/>
                <w:color w:val="auto"/>
              </w:rPr>
              <w:t>96</w:t>
            </w:r>
          </w:p>
        </w:tc>
      </w:tr>
      <w:tr>
        <w:trPr>
          <w:trHeight w:val="178"/>
        </w:trPr>
        <w:tc>
          <w:tcPr>
            <w:tcW w:w="940" w:type="dxa"/>
            <w:vAlign w:val="bottom"/>
          </w:tcPr>
          <w:p>
            <w:pPr>
              <w:ind w:left="80"/>
              <w:spacing w:after="0" w:line="178" w:lineRule="exact"/>
              <w:rPr>
                <w:sz w:val="20"/>
                <w:szCs w:val="20"/>
                <w:color w:val="auto"/>
              </w:rPr>
            </w:pPr>
            <w:r>
              <w:rPr>
                <w:rFonts w:ascii="Arial" w:cs="Arial" w:eastAsia="Arial" w:hAnsi="Arial"/>
                <w:sz w:val="16"/>
                <w:szCs w:val="16"/>
                <w:color w:val="auto"/>
              </w:rPr>
              <w:t>11</w:t>
            </w:r>
          </w:p>
        </w:tc>
        <w:tc>
          <w:tcPr>
            <w:tcW w:w="1320" w:type="dxa"/>
            <w:vAlign w:val="bottom"/>
          </w:tcPr>
          <w:p>
            <w:pPr>
              <w:ind w:left="440"/>
              <w:spacing w:after="0" w:line="178" w:lineRule="exact"/>
              <w:rPr>
                <w:sz w:val="20"/>
                <w:szCs w:val="20"/>
                <w:color w:val="auto"/>
              </w:rPr>
            </w:pPr>
            <w:r>
              <w:rPr>
                <w:rFonts w:ascii="Arial" w:cs="Arial" w:eastAsia="Arial" w:hAnsi="Arial"/>
                <w:sz w:val="16"/>
                <w:szCs w:val="16"/>
                <w:color w:val="auto"/>
              </w:rPr>
              <w:t>M</w:t>
            </w:r>
          </w:p>
        </w:tc>
        <w:tc>
          <w:tcPr>
            <w:tcW w:w="1100" w:type="dxa"/>
            <w:vAlign w:val="bottom"/>
          </w:tcPr>
          <w:p>
            <w:pPr>
              <w:jc w:val="center"/>
              <w:spacing w:after="0" w:line="178" w:lineRule="exact"/>
              <w:rPr>
                <w:sz w:val="20"/>
                <w:szCs w:val="20"/>
                <w:color w:val="auto"/>
              </w:rPr>
            </w:pPr>
            <w:r>
              <w:rPr>
                <w:rFonts w:ascii="Arial" w:cs="Arial" w:eastAsia="Arial" w:hAnsi="Arial"/>
                <w:sz w:val="16"/>
                <w:szCs w:val="16"/>
                <w:color w:val="auto"/>
                <w:w w:val="89"/>
              </w:rPr>
              <w:t>63</w:t>
            </w:r>
          </w:p>
        </w:tc>
        <w:tc>
          <w:tcPr>
            <w:tcW w:w="1260" w:type="dxa"/>
            <w:vAlign w:val="bottom"/>
          </w:tcPr>
          <w:p>
            <w:pPr>
              <w:ind w:left="440"/>
              <w:spacing w:after="0" w:line="178" w:lineRule="exact"/>
              <w:rPr>
                <w:sz w:val="20"/>
                <w:szCs w:val="20"/>
                <w:color w:val="auto"/>
              </w:rPr>
            </w:pPr>
            <w:r>
              <w:rPr>
                <w:rFonts w:ascii="Arial" w:cs="Arial" w:eastAsia="Arial" w:hAnsi="Arial"/>
                <w:sz w:val="16"/>
                <w:szCs w:val="16"/>
                <w:color w:val="auto"/>
              </w:rPr>
              <w:t>R</w:t>
            </w:r>
          </w:p>
        </w:tc>
        <w:tc>
          <w:tcPr>
            <w:tcW w:w="1740" w:type="dxa"/>
            <w:vAlign w:val="bottom"/>
          </w:tcPr>
          <w:p>
            <w:pPr>
              <w:jc w:val="center"/>
              <w:spacing w:after="0" w:line="178" w:lineRule="exact"/>
              <w:rPr>
                <w:sz w:val="20"/>
                <w:szCs w:val="20"/>
                <w:color w:val="auto"/>
              </w:rPr>
            </w:pPr>
            <w:r>
              <w:rPr>
                <w:rFonts w:ascii="Arial" w:cs="Arial" w:eastAsia="Arial" w:hAnsi="Arial"/>
                <w:sz w:val="16"/>
                <w:szCs w:val="16"/>
                <w:color w:val="auto"/>
                <w:w w:val="82"/>
              </w:rPr>
              <w:t>4241.14</w:t>
            </w:r>
          </w:p>
        </w:tc>
        <w:tc>
          <w:tcPr>
            <w:tcW w:w="960" w:type="dxa"/>
            <w:vAlign w:val="bottom"/>
          </w:tcPr>
          <w:p>
            <w:pPr>
              <w:jc w:val="center"/>
              <w:ind w:left="200"/>
              <w:spacing w:after="0" w:line="178" w:lineRule="exact"/>
              <w:rPr>
                <w:sz w:val="20"/>
                <w:szCs w:val="20"/>
                <w:color w:val="auto"/>
              </w:rPr>
            </w:pPr>
            <w:r>
              <w:rPr>
                <w:rFonts w:ascii="Arial" w:cs="Arial" w:eastAsia="Arial" w:hAnsi="Arial"/>
                <w:sz w:val="16"/>
                <w:szCs w:val="16"/>
                <w:color w:val="auto"/>
                <w:w w:val="89"/>
              </w:rPr>
              <w:t>4</w:t>
            </w:r>
          </w:p>
        </w:tc>
        <w:tc>
          <w:tcPr>
            <w:tcW w:w="1880" w:type="dxa"/>
            <w:vAlign w:val="bottom"/>
          </w:tcPr>
          <w:p>
            <w:pPr>
              <w:jc w:val="center"/>
              <w:spacing w:after="0" w:line="178" w:lineRule="exact"/>
              <w:rPr>
                <w:sz w:val="20"/>
                <w:szCs w:val="20"/>
                <w:color w:val="auto"/>
              </w:rPr>
            </w:pPr>
            <w:r>
              <w:rPr>
                <w:rFonts w:ascii="Arial" w:cs="Arial" w:eastAsia="Arial" w:hAnsi="Arial"/>
                <w:sz w:val="16"/>
                <w:szCs w:val="16"/>
                <w:color w:val="auto"/>
                <w:w w:val="78"/>
              </w:rPr>
              <w:t>44</w:t>
            </w:r>
          </w:p>
        </w:tc>
        <w:tc>
          <w:tcPr>
            <w:tcW w:w="640" w:type="dxa"/>
            <w:vAlign w:val="bottom"/>
          </w:tcPr>
          <w:p>
            <w:pPr>
              <w:jc w:val="right"/>
              <w:ind w:right="100"/>
              <w:spacing w:after="0" w:line="178" w:lineRule="exact"/>
              <w:rPr>
                <w:sz w:val="20"/>
                <w:szCs w:val="20"/>
                <w:color w:val="auto"/>
              </w:rPr>
            </w:pPr>
            <w:r>
              <w:rPr>
                <w:rFonts w:ascii="Arial" w:cs="Arial" w:eastAsia="Arial" w:hAnsi="Arial"/>
                <w:sz w:val="16"/>
                <w:szCs w:val="16"/>
                <w:color w:val="auto"/>
              </w:rPr>
              <w:t>120</w:t>
            </w:r>
          </w:p>
        </w:tc>
      </w:tr>
      <w:tr>
        <w:trPr>
          <w:trHeight w:val="180"/>
        </w:trPr>
        <w:tc>
          <w:tcPr>
            <w:tcW w:w="940" w:type="dxa"/>
            <w:vAlign w:val="bottom"/>
          </w:tcPr>
          <w:p>
            <w:pPr>
              <w:ind w:left="80"/>
              <w:spacing w:after="0" w:line="181" w:lineRule="exact"/>
              <w:rPr>
                <w:sz w:val="20"/>
                <w:szCs w:val="20"/>
                <w:color w:val="auto"/>
              </w:rPr>
            </w:pPr>
            <w:r>
              <w:rPr>
                <w:rFonts w:ascii="Arial" w:cs="Arial" w:eastAsia="Arial" w:hAnsi="Arial"/>
                <w:sz w:val="16"/>
                <w:szCs w:val="16"/>
                <w:color w:val="auto"/>
              </w:rPr>
              <w:t>12</w:t>
            </w:r>
          </w:p>
        </w:tc>
        <w:tc>
          <w:tcPr>
            <w:tcW w:w="1320" w:type="dxa"/>
            <w:vAlign w:val="bottom"/>
          </w:tcPr>
          <w:p>
            <w:pPr>
              <w:ind w:left="440"/>
              <w:spacing w:after="0" w:line="181" w:lineRule="exact"/>
              <w:rPr>
                <w:sz w:val="20"/>
                <w:szCs w:val="20"/>
                <w:color w:val="auto"/>
              </w:rPr>
            </w:pPr>
            <w:r>
              <w:rPr>
                <w:rFonts w:ascii="Arial" w:cs="Arial" w:eastAsia="Arial" w:hAnsi="Arial"/>
                <w:sz w:val="16"/>
                <w:szCs w:val="16"/>
                <w:color w:val="auto"/>
              </w:rPr>
              <w:t>F</w:t>
            </w:r>
          </w:p>
        </w:tc>
        <w:tc>
          <w:tcPr>
            <w:tcW w:w="1100" w:type="dxa"/>
            <w:vAlign w:val="bottom"/>
          </w:tcPr>
          <w:p>
            <w:pPr>
              <w:jc w:val="center"/>
              <w:spacing w:after="0" w:line="181" w:lineRule="exact"/>
              <w:rPr>
                <w:sz w:val="20"/>
                <w:szCs w:val="20"/>
                <w:color w:val="auto"/>
              </w:rPr>
            </w:pPr>
            <w:r>
              <w:rPr>
                <w:rFonts w:ascii="Arial" w:cs="Arial" w:eastAsia="Arial" w:hAnsi="Arial"/>
                <w:sz w:val="16"/>
                <w:szCs w:val="16"/>
                <w:color w:val="auto"/>
                <w:w w:val="89"/>
              </w:rPr>
              <w:t>70</w:t>
            </w:r>
          </w:p>
        </w:tc>
        <w:tc>
          <w:tcPr>
            <w:tcW w:w="1260" w:type="dxa"/>
            <w:vAlign w:val="bottom"/>
          </w:tcPr>
          <w:p>
            <w:pPr>
              <w:ind w:left="440"/>
              <w:spacing w:after="0" w:line="181" w:lineRule="exact"/>
              <w:rPr>
                <w:sz w:val="20"/>
                <w:szCs w:val="20"/>
                <w:color w:val="auto"/>
              </w:rPr>
            </w:pPr>
            <w:r>
              <w:rPr>
                <w:rFonts w:ascii="Arial" w:cs="Arial" w:eastAsia="Arial" w:hAnsi="Arial"/>
                <w:sz w:val="16"/>
                <w:szCs w:val="16"/>
                <w:color w:val="auto"/>
              </w:rPr>
              <w:t>L</w:t>
            </w:r>
          </w:p>
        </w:tc>
        <w:tc>
          <w:tcPr>
            <w:tcW w:w="1740" w:type="dxa"/>
            <w:vAlign w:val="bottom"/>
          </w:tcPr>
          <w:p>
            <w:pPr>
              <w:jc w:val="center"/>
              <w:spacing w:after="0" w:line="181" w:lineRule="exact"/>
              <w:rPr>
                <w:sz w:val="20"/>
                <w:szCs w:val="20"/>
                <w:color w:val="auto"/>
              </w:rPr>
            </w:pPr>
            <w:r>
              <w:rPr>
                <w:rFonts w:ascii="Arial" w:cs="Arial" w:eastAsia="Arial" w:hAnsi="Arial"/>
                <w:sz w:val="16"/>
                <w:szCs w:val="16"/>
                <w:color w:val="auto"/>
                <w:w w:val="82"/>
              </w:rPr>
              <w:t>6537.87</w:t>
            </w:r>
          </w:p>
        </w:tc>
        <w:tc>
          <w:tcPr>
            <w:tcW w:w="960" w:type="dxa"/>
            <w:vAlign w:val="bottom"/>
          </w:tcPr>
          <w:p>
            <w:pPr>
              <w:jc w:val="center"/>
              <w:ind w:left="200"/>
              <w:spacing w:after="0" w:line="181" w:lineRule="exact"/>
              <w:rPr>
                <w:sz w:val="20"/>
                <w:szCs w:val="20"/>
                <w:color w:val="auto"/>
              </w:rPr>
            </w:pPr>
            <w:r>
              <w:rPr>
                <w:rFonts w:ascii="Arial" w:cs="Arial" w:eastAsia="Arial" w:hAnsi="Arial"/>
                <w:sz w:val="16"/>
                <w:szCs w:val="16"/>
                <w:color w:val="auto"/>
                <w:w w:val="89"/>
              </w:rPr>
              <w:t>3</w:t>
            </w:r>
          </w:p>
        </w:tc>
        <w:tc>
          <w:tcPr>
            <w:tcW w:w="1880" w:type="dxa"/>
            <w:vAlign w:val="bottom"/>
          </w:tcPr>
          <w:p>
            <w:pPr>
              <w:jc w:val="center"/>
              <w:spacing w:after="0" w:line="181" w:lineRule="exact"/>
              <w:rPr>
                <w:sz w:val="20"/>
                <w:szCs w:val="20"/>
                <w:color w:val="auto"/>
              </w:rPr>
            </w:pPr>
            <w:r>
              <w:rPr>
                <w:rFonts w:ascii="Arial" w:cs="Arial" w:eastAsia="Arial" w:hAnsi="Arial"/>
                <w:sz w:val="16"/>
                <w:szCs w:val="16"/>
                <w:color w:val="auto"/>
                <w:w w:val="78"/>
              </w:rPr>
              <w:t>64</w:t>
            </w:r>
          </w:p>
        </w:tc>
        <w:tc>
          <w:tcPr>
            <w:tcW w:w="640" w:type="dxa"/>
            <w:vAlign w:val="bottom"/>
          </w:tcPr>
          <w:p>
            <w:pPr>
              <w:jc w:val="right"/>
              <w:ind w:right="100"/>
              <w:spacing w:after="0" w:line="181" w:lineRule="exact"/>
              <w:rPr>
                <w:sz w:val="20"/>
                <w:szCs w:val="20"/>
                <w:color w:val="auto"/>
              </w:rPr>
            </w:pPr>
            <w:r>
              <w:rPr>
                <w:rFonts w:ascii="Arial" w:cs="Arial" w:eastAsia="Arial" w:hAnsi="Arial"/>
                <w:sz w:val="16"/>
                <w:szCs w:val="16"/>
                <w:color w:val="auto"/>
              </w:rPr>
              <w:t>134</w:t>
            </w:r>
          </w:p>
        </w:tc>
      </w:tr>
      <w:tr>
        <w:trPr>
          <w:trHeight w:val="180"/>
        </w:trPr>
        <w:tc>
          <w:tcPr>
            <w:tcW w:w="940" w:type="dxa"/>
            <w:vAlign w:val="bottom"/>
          </w:tcPr>
          <w:p>
            <w:pPr>
              <w:ind w:left="80"/>
              <w:spacing w:after="0" w:line="181" w:lineRule="exact"/>
              <w:rPr>
                <w:sz w:val="20"/>
                <w:szCs w:val="20"/>
                <w:color w:val="auto"/>
              </w:rPr>
            </w:pPr>
            <w:r>
              <w:rPr>
                <w:rFonts w:ascii="Arial" w:cs="Arial" w:eastAsia="Arial" w:hAnsi="Arial"/>
                <w:sz w:val="16"/>
                <w:szCs w:val="16"/>
                <w:color w:val="auto"/>
              </w:rPr>
              <w:t>13</w:t>
            </w:r>
          </w:p>
        </w:tc>
        <w:tc>
          <w:tcPr>
            <w:tcW w:w="1320" w:type="dxa"/>
            <w:vAlign w:val="bottom"/>
          </w:tcPr>
          <w:p>
            <w:pPr>
              <w:ind w:left="440"/>
              <w:spacing w:after="0" w:line="181" w:lineRule="exact"/>
              <w:rPr>
                <w:sz w:val="20"/>
                <w:szCs w:val="20"/>
                <w:color w:val="auto"/>
              </w:rPr>
            </w:pPr>
            <w:r>
              <w:rPr>
                <w:rFonts w:ascii="Arial" w:cs="Arial" w:eastAsia="Arial" w:hAnsi="Arial"/>
                <w:sz w:val="16"/>
                <w:szCs w:val="16"/>
                <w:color w:val="auto"/>
              </w:rPr>
              <w:t>M</w:t>
            </w:r>
          </w:p>
        </w:tc>
        <w:tc>
          <w:tcPr>
            <w:tcW w:w="1100" w:type="dxa"/>
            <w:vAlign w:val="bottom"/>
          </w:tcPr>
          <w:p>
            <w:pPr>
              <w:jc w:val="center"/>
              <w:spacing w:after="0" w:line="181" w:lineRule="exact"/>
              <w:rPr>
                <w:sz w:val="20"/>
                <w:szCs w:val="20"/>
                <w:color w:val="auto"/>
              </w:rPr>
            </w:pPr>
            <w:r>
              <w:rPr>
                <w:rFonts w:ascii="Arial" w:cs="Arial" w:eastAsia="Arial" w:hAnsi="Arial"/>
                <w:sz w:val="16"/>
                <w:szCs w:val="16"/>
                <w:color w:val="auto"/>
                <w:w w:val="89"/>
              </w:rPr>
              <w:t>48</w:t>
            </w:r>
          </w:p>
        </w:tc>
        <w:tc>
          <w:tcPr>
            <w:tcW w:w="1260" w:type="dxa"/>
            <w:vAlign w:val="bottom"/>
          </w:tcPr>
          <w:p>
            <w:pPr>
              <w:ind w:left="440"/>
              <w:spacing w:after="0" w:line="181" w:lineRule="exact"/>
              <w:rPr>
                <w:sz w:val="20"/>
                <w:szCs w:val="20"/>
                <w:color w:val="auto"/>
              </w:rPr>
            </w:pPr>
            <w:r>
              <w:rPr>
                <w:rFonts w:ascii="Arial" w:cs="Arial" w:eastAsia="Arial" w:hAnsi="Arial"/>
                <w:sz w:val="16"/>
                <w:szCs w:val="16"/>
                <w:color w:val="auto"/>
              </w:rPr>
              <w:t>L</w:t>
            </w:r>
          </w:p>
        </w:tc>
        <w:tc>
          <w:tcPr>
            <w:tcW w:w="1740" w:type="dxa"/>
            <w:vAlign w:val="bottom"/>
          </w:tcPr>
          <w:p>
            <w:pPr>
              <w:jc w:val="center"/>
              <w:spacing w:after="0" w:line="181" w:lineRule="exact"/>
              <w:rPr>
                <w:sz w:val="20"/>
                <w:szCs w:val="20"/>
                <w:color w:val="auto"/>
              </w:rPr>
            </w:pPr>
            <w:r>
              <w:rPr>
                <w:rFonts w:ascii="Arial" w:cs="Arial" w:eastAsia="Arial" w:hAnsi="Arial"/>
                <w:sz w:val="16"/>
                <w:szCs w:val="16"/>
                <w:color w:val="auto"/>
                <w:w w:val="82"/>
              </w:rPr>
              <w:t>2816.03</w:t>
            </w:r>
          </w:p>
        </w:tc>
        <w:tc>
          <w:tcPr>
            <w:tcW w:w="960" w:type="dxa"/>
            <w:vAlign w:val="bottom"/>
          </w:tcPr>
          <w:p>
            <w:pPr>
              <w:jc w:val="center"/>
              <w:ind w:left="200"/>
              <w:spacing w:after="0" w:line="181" w:lineRule="exact"/>
              <w:rPr>
                <w:sz w:val="20"/>
                <w:szCs w:val="20"/>
                <w:color w:val="auto"/>
              </w:rPr>
            </w:pPr>
            <w:r>
              <w:rPr>
                <w:rFonts w:ascii="Arial" w:cs="Arial" w:eastAsia="Arial" w:hAnsi="Arial"/>
                <w:sz w:val="16"/>
                <w:szCs w:val="16"/>
                <w:color w:val="auto"/>
                <w:w w:val="89"/>
              </w:rPr>
              <w:t>2</w:t>
            </w:r>
          </w:p>
        </w:tc>
        <w:tc>
          <w:tcPr>
            <w:tcW w:w="1880" w:type="dxa"/>
            <w:vAlign w:val="bottom"/>
          </w:tcPr>
          <w:p>
            <w:pPr>
              <w:jc w:val="center"/>
              <w:spacing w:after="0" w:line="181" w:lineRule="exact"/>
              <w:rPr>
                <w:sz w:val="20"/>
                <w:szCs w:val="20"/>
                <w:color w:val="auto"/>
              </w:rPr>
            </w:pPr>
            <w:r>
              <w:rPr>
                <w:rFonts w:ascii="Arial" w:cs="Arial" w:eastAsia="Arial" w:hAnsi="Arial"/>
                <w:sz w:val="16"/>
                <w:szCs w:val="16"/>
                <w:color w:val="auto"/>
                <w:w w:val="78"/>
              </w:rPr>
              <w:t>50</w:t>
            </w:r>
          </w:p>
        </w:tc>
        <w:tc>
          <w:tcPr>
            <w:tcW w:w="640" w:type="dxa"/>
            <w:vAlign w:val="bottom"/>
          </w:tcPr>
          <w:p>
            <w:pPr>
              <w:jc w:val="right"/>
              <w:ind w:right="100"/>
              <w:spacing w:after="0" w:line="181" w:lineRule="exact"/>
              <w:rPr>
                <w:sz w:val="20"/>
                <w:szCs w:val="20"/>
                <w:color w:val="auto"/>
              </w:rPr>
            </w:pPr>
            <w:r>
              <w:rPr>
                <w:rFonts w:ascii="Arial" w:cs="Arial" w:eastAsia="Arial" w:hAnsi="Arial"/>
                <w:sz w:val="16"/>
                <w:szCs w:val="16"/>
                <w:color w:val="auto"/>
              </w:rPr>
              <w:t>112</w:t>
            </w:r>
          </w:p>
        </w:tc>
      </w:tr>
      <w:tr>
        <w:trPr>
          <w:trHeight w:val="180"/>
        </w:trPr>
        <w:tc>
          <w:tcPr>
            <w:tcW w:w="940" w:type="dxa"/>
            <w:vAlign w:val="bottom"/>
          </w:tcPr>
          <w:p>
            <w:pPr>
              <w:ind w:left="80"/>
              <w:spacing w:after="0" w:line="181" w:lineRule="exact"/>
              <w:rPr>
                <w:sz w:val="20"/>
                <w:szCs w:val="20"/>
                <w:color w:val="auto"/>
              </w:rPr>
            </w:pPr>
            <w:r>
              <w:rPr>
                <w:rFonts w:ascii="Arial" w:cs="Arial" w:eastAsia="Arial" w:hAnsi="Arial"/>
                <w:sz w:val="16"/>
                <w:szCs w:val="16"/>
                <w:color w:val="auto"/>
              </w:rPr>
              <w:t>14</w:t>
            </w:r>
          </w:p>
        </w:tc>
        <w:tc>
          <w:tcPr>
            <w:tcW w:w="1320" w:type="dxa"/>
            <w:vAlign w:val="bottom"/>
          </w:tcPr>
          <w:p>
            <w:pPr>
              <w:ind w:left="440"/>
              <w:spacing w:after="0" w:line="181" w:lineRule="exact"/>
              <w:rPr>
                <w:sz w:val="20"/>
                <w:szCs w:val="20"/>
                <w:color w:val="auto"/>
              </w:rPr>
            </w:pPr>
            <w:r>
              <w:rPr>
                <w:rFonts w:ascii="Arial" w:cs="Arial" w:eastAsia="Arial" w:hAnsi="Arial"/>
                <w:sz w:val="16"/>
                <w:szCs w:val="16"/>
                <w:color w:val="auto"/>
              </w:rPr>
              <w:t>F</w:t>
            </w:r>
          </w:p>
        </w:tc>
        <w:tc>
          <w:tcPr>
            <w:tcW w:w="1100" w:type="dxa"/>
            <w:vAlign w:val="bottom"/>
          </w:tcPr>
          <w:p>
            <w:pPr>
              <w:jc w:val="center"/>
              <w:spacing w:after="0" w:line="181" w:lineRule="exact"/>
              <w:rPr>
                <w:sz w:val="20"/>
                <w:szCs w:val="20"/>
                <w:color w:val="auto"/>
              </w:rPr>
            </w:pPr>
            <w:r>
              <w:rPr>
                <w:rFonts w:ascii="Arial" w:cs="Arial" w:eastAsia="Arial" w:hAnsi="Arial"/>
                <w:sz w:val="16"/>
                <w:szCs w:val="16"/>
                <w:color w:val="auto"/>
                <w:w w:val="89"/>
              </w:rPr>
              <w:t>55</w:t>
            </w:r>
          </w:p>
        </w:tc>
        <w:tc>
          <w:tcPr>
            <w:tcW w:w="1260" w:type="dxa"/>
            <w:vAlign w:val="bottom"/>
          </w:tcPr>
          <w:p>
            <w:pPr>
              <w:ind w:left="440"/>
              <w:spacing w:after="0" w:line="181" w:lineRule="exact"/>
              <w:rPr>
                <w:sz w:val="20"/>
                <w:szCs w:val="20"/>
                <w:color w:val="auto"/>
              </w:rPr>
            </w:pPr>
            <w:r>
              <w:rPr>
                <w:rFonts w:ascii="Arial" w:cs="Arial" w:eastAsia="Arial" w:hAnsi="Arial"/>
                <w:sz w:val="16"/>
                <w:szCs w:val="16"/>
                <w:color w:val="auto"/>
              </w:rPr>
              <w:t>L</w:t>
            </w:r>
          </w:p>
        </w:tc>
        <w:tc>
          <w:tcPr>
            <w:tcW w:w="1740" w:type="dxa"/>
            <w:vAlign w:val="bottom"/>
          </w:tcPr>
          <w:p>
            <w:pPr>
              <w:jc w:val="center"/>
              <w:spacing w:after="0" w:line="181" w:lineRule="exact"/>
              <w:rPr>
                <w:sz w:val="20"/>
                <w:szCs w:val="20"/>
                <w:color w:val="auto"/>
              </w:rPr>
            </w:pPr>
            <w:r>
              <w:rPr>
                <w:rFonts w:ascii="Arial" w:cs="Arial" w:eastAsia="Arial" w:hAnsi="Arial"/>
                <w:sz w:val="16"/>
                <w:szCs w:val="16"/>
                <w:color w:val="auto"/>
                <w:w w:val="82"/>
              </w:rPr>
              <w:t>3162.91</w:t>
            </w:r>
          </w:p>
        </w:tc>
        <w:tc>
          <w:tcPr>
            <w:tcW w:w="960" w:type="dxa"/>
            <w:vAlign w:val="bottom"/>
          </w:tcPr>
          <w:p>
            <w:pPr>
              <w:jc w:val="center"/>
              <w:ind w:left="200"/>
              <w:spacing w:after="0" w:line="181" w:lineRule="exact"/>
              <w:rPr>
                <w:sz w:val="20"/>
                <w:szCs w:val="20"/>
                <w:color w:val="auto"/>
              </w:rPr>
            </w:pPr>
            <w:r>
              <w:rPr>
                <w:rFonts w:ascii="Arial" w:cs="Arial" w:eastAsia="Arial" w:hAnsi="Arial"/>
                <w:sz w:val="16"/>
                <w:szCs w:val="16"/>
                <w:color w:val="auto"/>
                <w:w w:val="89"/>
              </w:rPr>
              <w:t>4</w:t>
            </w:r>
          </w:p>
        </w:tc>
        <w:tc>
          <w:tcPr>
            <w:tcW w:w="1880" w:type="dxa"/>
            <w:vAlign w:val="bottom"/>
          </w:tcPr>
          <w:p>
            <w:pPr>
              <w:jc w:val="center"/>
              <w:spacing w:after="0" w:line="181" w:lineRule="exact"/>
              <w:rPr>
                <w:sz w:val="20"/>
                <w:szCs w:val="20"/>
                <w:color w:val="auto"/>
              </w:rPr>
            </w:pPr>
            <w:r>
              <w:rPr>
                <w:rFonts w:ascii="Arial" w:cs="Arial" w:eastAsia="Arial" w:hAnsi="Arial"/>
                <w:sz w:val="16"/>
                <w:szCs w:val="16"/>
                <w:color w:val="auto"/>
                <w:w w:val="78"/>
              </w:rPr>
              <w:t>72</w:t>
            </w:r>
          </w:p>
        </w:tc>
        <w:tc>
          <w:tcPr>
            <w:tcW w:w="640" w:type="dxa"/>
            <w:vAlign w:val="bottom"/>
          </w:tcPr>
          <w:p>
            <w:pPr>
              <w:jc w:val="right"/>
              <w:ind w:right="100"/>
              <w:spacing w:after="0" w:line="181" w:lineRule="exact"/>
              <w:rPr>
                <w:sz w:val="20"/>
                <w:szCs w:val="20"/>
                <w:color w:val="auto"/>
              </w:rPr>
            </w:pPr>
            <w:r>
              <w:rPr>
                <w:rFonts w:ascii="Arial" w:cs="Arial" w:eastAsia="Arial" w:hAnsi="Arial"/>
                <w:sz w:val="16"/>
                <w:szCs w:val="16"/>
                <w:color w:val="auto"/>
              </w:rPr>
              <w:t>131</w:t>
            </w:r>
          </w:p>
        </w:tc>
      </w:tr>
      <w:tr>
        <w:trPr>
          <w:trHeight w:val="181"/>
        </w:trPr>
        <w:tc>
          <w:tcPr>
            <w:tcW w:w="940" w:type="dxa"/>
            <w:vAlign w:val="bottom"/>
          </w:tcPr>
          <w:p>
            <w:pPr>
              <w:ind w:left="80"/>
              <w:spacing w:after="0" w:line="181" w:lineRule="exact"/>
              <w:rPr>
                <w:sz w:val="20"/>
                <w:szCs w:val="20"/>
                <w:color w:val="auto"/>
              </w:rPr>
            </w:pPr>
            <w:r>
              <w:rPr>
                <w:rFonts w:ascii="Arial" w:cs="Arial" w:eastAsia="Arial" w:hAnsi="Arial"/>
                <w:sz w:val="16"/>
                <w:szCs w:val="16"/>
                <w:color w:val="auto"/>
              </w:rPr>
              <w:t>15</w:t>
            </w:r>
          </w:p>
        </w:tc>
        <w:tc>
          <w:tcPr>
            <w:tcW w:w="1320" w:type="dxa"/>
            <w:vAlign w:val="bottom"/>
          </w:tcPr>
          <w:p>
            <w:pPr>
              <w:ind w:left="440"/>
              <w:spacing w:after="0" w:line="181" w:lineRule="exact"/>
              <w:rPr>
                <w:sz w:val="20"/>
                <w:szCs w:val="20"/>
                <w:color w:val="auto"/>
              </w:rPr>
            </w:pPr>
            <w:r>
              <w:rPr>
                <w:rFonts w:ascii="Arial" w:cs="Arial" w:eastAsia="Arial" w:hAnsi="Arial"/>
                <w:sz w:val="16"/>
                <w:szCs w:val="16"/>
                <w:color w:val="auto"/>
              </w:rPr>
              <w:t>M</w:t>
            </w:r>
          </w:p>
        </w:tc>
        <w:tc>
          <w:tcPr>
            <w:tcW w:w="1100" w:type="dxa"/>
            <w:vAlign w:val="bottom"/>
          </w:tcPr>
          <w:p>
            <w:pPr>
              <w:jc w:val="center"/>
              <w:spacing w:after="0" w:line="181" w:lineRule="exact"/>
              <w:rPr>
                <w:sz w:val="20"/>
                <w:szCs w:val="20"/>
                <w:color w:val="auto"/>
              </w:rPr>
            </w:pPr>
            <w:r>
              <w:rPr>
                <w:rFonts w:ascii="Arial" w:cs="Arial" w:eastAsia="Arial" w:hAnsi="Arial"/>
                <w:sz w:val="16"/>
                <w:szCs w:val="16"/>
                <w:color w:val="auto"/>
                <w:w w:val="89"/>
              </w:rPr>
              <w:t>60</w:t>
            </w:r>
          </w:p>
        </w:tc>
        <w:tc>
          <w:tcPr>
            <w:tcW w:w="1260" w:type="dxa"/>
            <w:vAlign w:val="bottom"/>
          </w:tcPr>
          <w:p>
            <w:pPr>
              <w:ind w:left="440"/>
              <w:spacing w:after="0" w:line="181" w:lineRule="exact"/>
              <w:rPr>
                <w:sz w:val="20"/>
                <w:szCs w:val="20"/>
                <w:color w:val="auto"/>
              </w:rPr>
            </w:pPr>
            <w:r>
              <w:rPr>
                <w:rFonts w:ascii="Arial" w:cs="Arial" w:eastAsia="Arial" w:hAnsi="Arial"/>
                <w:sz w:val="16"/>
                <w:szCs w:val="16"/>
                <w:color w:val="auto"/>
              </w:rPr>
              <w:t>R</w:t>
            </w:r>
          </w:p>
        </w:tc>
        <w:tc>
          <w:tcPr>
            <w:tcW w:w="1740" w:type="dxa"/>
            <w:vAlign w:val="bottom"/>
          </w:tcPr>
          <w:p>
            <w:pPr>
              <w:jc w:val="center"/>
              <w:spacing w:after="0" w:line="181" w:lineRule="exact"/>
              <w:rPr>
                <w:sz w:val="20"/>
                <w:szCs w:val="20"/>
                <w:color w:val="auto"/>
              </w:rPr>
            </w:pPr>
            <w:r>
              <w:rPr>
                <w:rFonts w:ascii="Arial" w:cs="Arial" w:eastAsia="Arial" w:hAnsi="Arial"/>
                <w:sz w:val="16"/>
                <w:szCs w:val="16"/>
                <w:color w:val="auto"/>
                <w:w w:val="82"/>
              </w:rPr>
              <w:t>2717.88</w:t>
            </w:r>
          </w:p>
        </w:tc>
        <w:tc>
          <w:tcPr>
            <w:tcW w:w="960" w:type="dxa"/>
            <w:vAlign w:val="bottom"/>
          </w:tcPr>
          <w:p>
            <w:pPr>
              <w:jc w:val="center"/>
              <w:ind w:left="200"/>
              <w:spacing w:after="0" w:line="181" w:lineRule="exact"/>
              <w:rPr>
                <w:sz w:val="20"/>
                <w:szCs w:val="20"/>
                <w:color w:val="auto"/>
              </w:rPr>
            </w:pPr>
            <w:r>
              <w:rPr>
                <w:rFonts w:ascii="Arial" w:cs="Arial" w:eastAsia="Arial" w:hAnsi="Arial"/>
                <w:sz w:val="16"/>
                <w:szCs w:val="16"/>
                <w:color w:val="auto"/>
                <w:w w:val="89"/>
              </w:rPr>
              <w:t>3</w:t>
            </w:r>
          </w:p>
        </w:tc>
        <w:tc>
          <w:tcPr>
            <w:tcW w:w="1880" w:type="dxa"/>
            <w:vAlign w:val="bottom"/>
          </w:tcPr>
          <w:p>
            <w:pPr>
              <w:jc w:val="center"/>
              <w:spacing w:after="0" w:line="181" w:lineRule="exact"/>
              <w:rPr>
                <w:sz w:val="20"/>
                <w:szCs w:val="20"/>
                <w:color w:val="auto"/>
              </w:rPr>
            </w:pPr>
            <w:r>
              <w:rPr>
                <w:rFonts w:ascii="Arial" w:cs="Arial" w:eastAsia="Arial" w:hAnsi="Arial"/>
                <w:sz w:val="16"/>
                <w:szCs w:val="16"/>
                <w:color w:val="auto"/>
                <w:w w:val="78"/>
              </w:rPr>
              <w:t>73</w:t>
            </w:r>
          </w:p>
        </w:tc>
        <w:tc>
          <w:tcPr>
            <w:tcW w:w="640" w:type="dxa"/>
            <w:vAlign w:val="bottom"/>
          </w:tcPr>
          <w:p>
            <w:pPr>
              <w:jc w:val="right"/>
              <w:ind w:right="100"/>
              <w:spacing w:after="0" w:line="181" w:lineRule="exact"/>
              <w:rPr>
                <w:sz w:val="20"/>
                <w:szCs w:val="20"/>
                <w:color w:val="auto"/>
              </w:rPr>
            </w:pPr>
            <w:r>
              <w:rPr>
                <w:rFonts w:ascii="Arial" w:cs="Arial" w:eastAsia="Arial" w:hAnsi="Arial"/>
                <w:sz w:val="16"/>
                <w:szCs w:val="16"/>
                <w:color w:val="auto"/>
              </w:rPr>
              <w:t>137</w:t>
            </w:r>
          </w:p>
        </w:tc>
      </w:tr>
      <w:tr>
        <w:trPr>
          <w:trHeight w:val="180"/>
        </w:trPr>
        <w:tc>
          <w:tcPr>
            <w:tcW w:w="940" w:type="dxa"/>
            <w:vAlign w:val="bottom"/>
          </w:tcPr>
          <w:p>
            <w:pPr>
              <w:ind w:left="80"/>
              <w:spacing w:after="0" w:line="181" w:lineRule="exact"/>
              <w:rPr>
                <w:sz w:val="20"/>
                <w:szCs w:val="20"/>
                <w:color w:val="auto"/>
              </w:rPr>
            </w:pPr>
            <w:r>
              <w:rPr>
                <w:rFonts w:ascii="Arial" w:cs="Arial" w:eastAsia="Arial" w:hAnsi="Arial"/>
                <w:sz w:val="16"/>
                <w:szCs w:val="16"/>
                <w:color w:val="auto"/>
              </w:rPr>
              <w:t>16</w:t>
            </w:r>
          </w:p>
        </w:tc>
        <w:tc>
          <w:tcPr>
            <w:tcW w:w="1320" w:type="dxa"/>
            <w:vAlign w:val="bottom"/>
          </w:tcPr>
          <w:p>
            <w:pPr>
              <w:ind w:left="440"/>
              <w:spacing w:after="0" w:line="181" w:lineRule="exact"/>
              <w:rPr>
                <w:sz w:val="20"/>
                <w:szCs w:val="20"/>
                <w:color w:val="auto"/>
              </w:rPr>
            </w:pPr>
            <w:r>
              <w:rPr>
                <w:rFonts w:ascii="Arial" w:cs="Arial" w:eastAsia="Arial" w:hAnsi="Arial"/>
                <w:sz w:val="16"/>
                <w:szCs w:val="16"/>
                <w:color w:val="auto"/>
              </w:rPr>
              <w:t>M</w:t>
            </w:r>
          </w:p>
        </w:tc>
        <w:tc>
          <w:tcPr>
            <w:tcW w:w="1100" w:type="dxa"/>
            <w:vAlign w:val="bottom"/>
          </w:tcPr>
          <w:p>
            <w:pPr>
              <w:jc w:val="center"/>
              <w:spacing w:after="0" w:line="181" w:lineRule="exact"/>
              <w:rPr>
                <w:sz w:val="20"/>
                <w:szCs w:val="20"/>
                <w:color w:val="auto"/>
              </w:rPr>
            </w:pPr>
            <w:r>
              <w:rPr>
                <w:rFonts w:ascii="Arial" w:cs="Arial" w:eastAsia="Arial" w:hAnsi="Arial"/>
                <w:sz w:val="16"/>
                <w:szCs w:val="16"/>
                <w:color w:val="auto"/>
                <w:w w:val="89"/>
              </w:rPr>
              <w:t>72</w:t>
            </w:r>
          </w:p>
        </w:tc>
        <w:tc>
          <w:tcPr>
            <w:tcW w:w="1260" w:type="dxa"/>
            <w:vAlign w:val="bottom"/>
          </w:tcPr>
          <w:p>
            <w:pPr>
              <w:ind w:left="440"/>
              <w:spacing w:after="0" w:line="181" w:lineRule="exact"/>
              <w:rPr>
                <w:sz w:val="20"/>
                <w:szCs w:val="20"/>
                <w:color w:val="auto"/>
              </w:rPr>
            </w:pPr>
            <w:r>
              <w:rPr>
                <w:rFonts w:ascii="Arial" w:cs="Arial" w:eastAsia="Arial" w:hAnsi="Arial"/>
                <w:sz w:val="16"/>
                <w:szCs w:val="16"/>
                <w:color w:val="auto"/>
              </w:rPr>
              <w:t>L</w:t>
            </w:r>
          </w:p>
        </w:tc>
        <w:tc>
          <w:tcPr>
            <w:tcW w:w="1740" w:type="dxa"/>
            <w:vAlign w:val="bottom"/>
          </w:tcPr>
          <w:p>
            <w:pPr>
              <w:jc w:val="center"/>
              <w:spacing w:after="0" w:line="181" w:lineRule="exact"/>
              <w:rPr>
                <w:sz w:val="20"/>
                <w:szCs w:val="20"/>
                <w:color w:val="auto"/>
              </w:rPr>
            </w:pPr>
            <w:r>
              <w:rPr>
                <w:rFonts w:ascii="Arial" w:cs="Arial" w:eastAsia="Arial" w:hAnsi="Arial"/>
                <w:sz w:val="16"/>
                <w:szCs w:val="16"/>
                <w:color w:val="auto"/>
                <w:w w:val="82"/>
              </w:rPr>
              <w:t>3188.41</w:t>
            </w:r>
          </w:p>
        </w:tc>
        <w:tc>
          <w:tcPr>
            <w:tcW w:w="960" w:type="dxa"/>
            <w:vAlign w:val="bottom"/>
          </w:tcPr>
          <w:p>
            <w:pPr>
              <w:jc w:val="center"/>
              <w:ind w:left="200"/>
              <w:spacing w:after="0" w:line="181" w:lineRule="exact"/>
              <w:rPr>
                <w:sz w:val="20"/>
                <w:szCs w:val="20"/>
                <w:color w:val="auto"/>
              </w:rPr>
            </w:pPr>
            <w:r>
              <w:rPr>
                <w:rFonts w:ascii="Arial" w:cs="Arial" w:eastAsia="Arial" w:hAnsi="Arial"/>
                <w:sz w:val="16"/>
                <w:szCs w:val="16"/>
                <w:color w:val="auto"/>
                <w:w w:val="89"/>
              </w:rPr>
              <w:t>2</w:t>
            </w:r>
          </w:p>
        </w:tc>
        <w:tc>
          <w:tcPr>
            <w:tcW w:w="1880" w:type="dxa"/>
            <w:vAlign w:val="bottom"/>
          </w:tcPr>
          <w:p>
            <w:pPr>
              <w:jc w:val="center"/>
              <w:spacing w:after="0" w:line="181" w:lineRule="exact"/>
              <w:rPr>
                <w:sz w:val="20"/>
                <w:szCs w:val="20"/>
                <w:color w:val="auto"/>
              </w:rPr>
            </w:pPr>
            <w:r>
              <w:rPr>
                <w:rFonts w:ascii="Arial" w:cs="Arial" w:eastAsia="Arial" w:hAnsi="Arial"/>
                <w:sz w:val="16"/>
                <w:szCs w:val="16"/>
                <w:color w:val="auto"/>
                <w:w w:val="78"/>
              </w:rPr>
              <w:t>36</w:t>
            </w:r>
          </w:p>
        </w:tc>
        <w:tc>
          <w:tcPr>
            <w:tcW w:w="640" w:type="dxa"/>
            <w:vAlign w:val="bottom"/>
          </w:tcPr>
          <w:p>
            <w:pPr>
              <w:jc w:val="right"/>
              <w:ind w:right="100"/>
              <w:spacing w:after="0" w:line="181" w:lineRule="exact"/>
              <w:rPr>
                <w:sz w:val="20"/>
                <w:szCs w:val="20"/>
                <w:color w:val="auto"/>
              </w:rPr>
            </w:pPr>
            <w:r>
              <w:rPr>
                <w:rFonts w:ascii="Arial" w:cs="Arial" w:eastAsia="Arial" w:hAnsi="Arial"/>
                <w:sz w:val="16"/>
                <w:szCs w:val="16"/>
                <w:color w:val="auto"/>
              </w:rPr>
              <w:t>104</w:t>
            </w:r>
          </w:p>
        </w:tc>
      </w:tr>
      <w:tr>
        <w:trPr>
          <w:trHeight w:val="180"/>
        </w:trPr>
        <w:tc>
          <w:tcPr>
            <w:tcW w:w="940" w:type="dxa"/>
            <w:vAlign w:val="bottom"/>
          </w:tcPr>
          <w:p>
            <w:pPr>
              <w:ind w:left="80"/>
              <w:spacing w:after="0" w:line="181" w:lineRule="exact"/>
              <w:rPr>
                <w:sz w:val="20"/>
                <w:szCs w:val="20"/>
                <w:color w:val="auto"/>
              </w:rPr>
            </w:pPr>
            <w:r>
              <w:rPr>
                <w:rFonts w:ascii="Arial" w:cs="Arial" w:eastAsia="Arial" w:hAnsi="Arial"/>
                <w:sz w:val="16"/>
                <w:szCs w:val="16"/>
                <w:color w:val="auto"/>
              </w:rPr>
              <w:t>17</w:t>
            </w:r>
          </w:p>
        </w:tc>
        <w:tc>
          <w:tcPr>
            <w:tcW w:w="1320" w:type="dxa"/>
            <w:vAlign w:val="bottom"/>
          </w:tcPr>
          <w:p>
            <w:pPr>
              <w:ind w:left="440"/>
              <w:spacing w:after="0" w:line="181" w:lineRule="exact"/>
              <w:rPr>
                <w:sz w:val="20"/>
                <w:szCs w:val="20"/>
                <w:color w:val="auto"/>
              </w:rPr>
            </w:pPr>
            <w:r>
              <w:rPr>
                <w:rFonts w:ascii="Arial" w:cs="Arial" w:eastAsia="Arial" w:hAnsi="Arial"/>
                <w:sz w:val="16"/>
                <w:szCs w:val="16"/>
                <w:color w:val="auto"/>
              </w:rPr>
              <w:t>M</w:t>
            </w:r>
          </w:p>
        </w:tc>
        <w:tc>
          <w:tcPr>
            <w:tcW w:w="1100" w:type="dxa"/>
            <w:vAlign w:val="bottom"/>
          </w:tcPr>
          <w:p>
            <w:pPr>
              <w:jc w:val="center"/>
              <w:spacing w:after="0" w:line="181" w:lineRule="exact"/>
              <w:rPr>
                <w:sz w:val="20"/>
                <w:szCs w:val="20"/>
                <w:color w:val="auto"/>
              </w:rPr>
            </w:pPr>
            <w:r>
              <w:rPr>
                <w:rFonts w:ascii="Arial" w:cs="Arial" w:eastAsia="Arial" w:hAnsi="Arial"/>
                <w:sz w:val="16"/>
                <w:szCs w:val="16"/>
                <w:color w:val="auto"/>
                <w:w w:val="89"/>
              </w:rPr>
              <w:t>57</w:t>
            </w:r>
          </w:p>
        </w:tc>
        <w:tc>
          <w:tcPr>
            <w:tcW w:w="1260" w:type="dxa"/>
            <w:vAlign w:val="bottom"/>
          </w:tcPr>
          <w:p>
            <w:pPr>
              <w:ind w:left="440"/>
              <w:spacing w:after="0" w:line="181" w:lineRule="exact"/>
              <w:rPr>
                <w:sz w:val="20"/>
                <w:szCs w:val="20"/>
                <w:color w:val="auto"/>
              </w:rPr>
            </w:pPr>
            <w:r>
              <w:rPr>
                <w:rFonts w:ascii="Arial" w:cs="Arial" w:eastAsia="Arial" w:hAnsi="Arial"/>
                <w:sz w:val="16"/>
                <w:szCs w:val="16"/>
                <w:color w:val="auto"/>
              </w:rPr>
              <w:t>L</w:t>
            </w:r>
          </w:p>
        </w:tc>
        <w:tc>
          <w:tcPr>
            <w:tcW w:w="1740" w:type="dxa"/>
            <w:vAlign w:val="bottom"/>
          </w:tcPr>
          <w:p>
            <w:pPr>
              <w:jc w:val="center"/>
              <w:spacing w:after="0" w:line="181" w:lineRule="exact"/>
              <w:rPr>
                <w:sz w:val="20"/>
                <w:szCs w:val="20"/>
                <w:color w:val="auto"/>
              </w:rPr>
            </w:pPr>
            <w:r>
              <w:rPr>
                <w:rFonts w:ascii="Arial" w:cs="Arial" w:eastAsia="Arial" w:hAnsi="Arial"/>
                <w:sz w:val="16"/>
                <w:szCs w:val="16"/>
                <w:color w:val="auto"/>
                <w:w w:val="82"/>
              </w:rPr>
              <w:t>3533.24</w:t>
            </w:r>
          </w:p>
        </w:tc>
        <w:tc>
          <w:tcPr>
            <w:tcW w:w="960" w:type="dxa"/>
            <w:vAlign w:val="bottom"/>
          </w:tcPr>
          <w:p>
            <w:pPr>
              <w:jc w:val="center"/>
              <w:ind w:left="200"/>
              <w:spacing w:after="0" w:line="181" w:lineRule="exact"/>
              <w:rPr>
                <w:sz w:val="20"/>
                <w:szCs w:val="20"/>
                <w:color w:val="auto"/>
              </w:rPr>
            </w:pPr>
            <w:r>
              <w:rPr>
                <w:rFonts w:ascii="Arial" w:cs="Arial" w:eastAsia="Arial" w:hAnsi="Arial"/>
                <w:sz w:val="16"/>
                <w:szCs w:val="16"/>
                <w:color w:val="auto"/>
                <w:w w:val="89"/>
              </w:rPr>
              <w:t>2</w:t>
            </w:r>
          </w:p>
        </w:tc>
        <w:tc>
          <w:tcPr>
            <w:tcW w:w="1880" w:type="dxa"/>
            <w:vAlign w:val="bottom"/>
          </w:tcPr>
          <w:p>
            <w:pPr>
              <w:jc w:val="center"/>
              <w:spacing w:after="0" w:line="181" w:lineRule="exact"/>
              <w:rPr>
                <w:sz w:val="20"/>
                <w:szCs w:val="20"/>
                <w:color w:val="auto"/>
              </w:rPr>
            </w:pPr>
            <w:r>
              <w:rPr>
                <w:rFonts w:ascii="Arial" w:cs="Arial" w:eastAsia="Arial" w:hAnsi="Arial"/>
                <w:sz w:val="16"/>
                <w:szCs w:val="16"/>
                <w:color w:val="auto"/>
                <w:w w:val="78"/>
              </w:rPr>
              <w:t>32</w:t>
            </w:r>
          </w:p>
        </w:tc>
        <w:tc>
          <w:tcPr>
            <w:tcW w:w="640" w:type="dxa"/>
            <w:vAlign w:val="bottom"/>
          </w:tcPr>
          <w:p>
            <w:pPr>
              <w:jc w:val="right"/>
              <w:ind w:right="100"/>
              <w:spacing w:after="0" w:line="181" w:lineRule="exact"/>
              <w:rPr>
                <w:sz w:val="20"/>
                <w:szCs w:val="20"/>
                <w:color w:val="auto"/>
              </w:rPr>
            </w:pPr>
            <w:r>
              <w:rPr>
                <w:rFonts w:ascii="Arial" w:cs="Arial" w:eastAsia="Arial" w:hAnsi="Arial"/>
                <w:sz w:val="16"/>
                <w:szCs w:val="16"/>
                <w:color w:val="auto"/>
              </w:rPr>
              <w:t>96</w:t>
            </w:r>
          </w:p>
        </w:tc>
      </w:tr>
      <w:tr>
        <w:trPr>
          <w:trHeight w:val="179"/>
        </w:trPr>
        <w:tc>
          <w:tcPr>
            <w:tcW w:w="940" w:type="dxa"/>
            <w:vAlign w:val="bottom"/>
          </w:tcPr>
          <w:p>
            <w:pPr>
              <w:ind w:left="80"/>
              <w:spacing w:after="0" w:line="180" w:lineRule="exact"/>
              <w:rPr>
                <w:sz w:val="20"/>
                <w:szCs w:val="20"/>
                <w:color w:val="auto"/>
              </w:rPr>
            </w:pPr>
            <w:r>
              <w:rPr>
                <w:rFonts w:ascii="Arial" w:cs="Arial" w:eastAsia="Arial" w:hAnsi="Arial"/>
                <w:sz w:val="16"/>
                <w:szCs w:val="16"/>
                <w:color w:val="auto"/>
              </w:rPr>
              <w:t>18</w:t>
            </w:r>
          </w:p>
        </w:tc>
        <w:tc>
          <w:tcPr>
            <w:tcW w:w="1320" w:type="dxa"/>
            <w:vAlign w:val="bottom"/>
          </w:tcPr>
          <w:p>
            <w:pPr>
              <w:ind w:left="440"/>
              <w:spacing w:after="0" w:line="180" w:lineRule="exact"/>
              <w:rPr>
                <w:sz w:val="20"/>
                <w:szCs w:val="20"/>
                <w:color w:val="auto"/>
              </w:rPr>
            </w:pPr>
            <w:r>
              <w:rPr>
                <w:rFonts w:ascii="Arial" w:cs="Arial" w:eastAsia="Arial" w:hAnsi="Arial"/>
                <w:sz w:val="16"/>
                <w:szCs w:val="16"/>
                <w:color w:val="auto"/>
              </w:rPr>
              <w:t>F</w:t>
            </w:r>
          </w:p>
        </w:tc>
        <w:tc>
          <w:tcPr>
            <w:tcW w:w="1100" w:type="dxa"/>
            <w:vAlign w:val="bottom"/>
          </w:tcPr>
          <w:p>
            <w:pPr>
              <w:jc w:val="center"/>
              <w:spacing w:after="0" w:line="180" w:lineRule="exact"/>
              <w:rPr>
                <w:sz w:val="20"/>
                <w:szCs w:val="20"/>
                <w:color w:val="auto"/>
              </w:rPr>
            </w:pPr>
            <w:r>
              <w:rPr>
                <w:rFonts w:ascii="Arial" w:cs="Arial" w:eastAsia="Arial" w:hAnsi="Arial"/>
                <w:sz w:val="16"/>
                <w:szCs w:val="16"/>
                <w:color w:val="auto"/>
                <w:w w:val="89"/>
              </w:rPr>
              <w:t>76</w:t>
            </w:r>
          </w:p>
        </w:tc>
        <w:tc>
          <w:tcPr>
            <w:tcW w:w="1260" w:type="dxa"/>
            <w:vAlign w:val="bottom"/>
          </w:tcPr>
          <w:p>
            <w:pPr>
              <w:ind w:left="440"/>
              <w:spacing w:after="0" w:line="180" w:lineRule="exact"/>
              <w:rPr>
                <w:sz w:val="20"/>
                <w:szCs w:val="20"/>
                <w:color w:val="auto"/>
              </w:rPr>
            </w:pPr>
            <w:r>
              <w:rPr>
                <w:rFonts w:ascii="Arial" w:cs="Arial" w:eastAsia="Arial" w:hAnsi="Arial"/>
                <w:sz w:val="16"/>
                <w:szCs w:val="16"/>
                <w:color w:val="auto"/>
              </w:rPr>
              <w:t>L</w:t>
            </w:r>
          </w:p>
        </w:tc>
        <w:tc>
          <w:tcPr>
            <w:tcW w:w="1740" w:type="dxa"/>
            <w:vAlign w:val="bottom"/>
          </w:tcPr>
          <w:p>
            <w:pPr>
              <w:jc w:val="center"/>
              <w:spacing w:after="0" w:line="180" w:lineRule="exact"/>
              <w:rPr>
                <w:sz w:val="20"/>
                <w:szCs w:val="20"/>
                <w:color w:val="auto"/>
              </w:rPr>
            </w:pPr>
            <w:r>
              <w:rPr>
                <w:rFonts w:ascii="Arial" w:cs="Arial" w:eastAsia="Arial" w:hAnsi="Arial"/>
                <w:sz w:val="16"/>
                <w:szCs w:val="16"/>
                <w:color w:val="auto"/>
                <w:w w:val="82"/>
              </w:rPr>
              <w:t>4212.12</w:t>
            </w:r>
          </w:p>
        </w:tc>
        <w:tc>
          <w:tcPr>
            <w:tcW w:w="960" w:type="dxa"/>
            <w:vAlign w:val="bottom"/>
          </w:tcPr>
          <w:p>
            <w:pPr>
              <w:jc w:val="center"/>
              <w:ind w:left="200"/>
              <w:spacing w:after="0" w:line="180" w:lineRule="exact"/>
              <w:rPr>
                <w:sz w:val="20"/>
                <w:szCs w:val="20"/>
                <w:color w:val="auto"/>
              </w:rPr>
            </w:pPr>
            <w:r>
              <w:rPr>
                <w:rFonts w:ascii="Arial" w:cs="Arial" w:eastAsia="Arial" w:hAnsi="Arial"/>
                <w:sz w:val="16"/>
                <w:szCs w:val="16"/>
                <w:color w:val="auto"/>
                <w:w w:val="89"/>
              </w:rPr>
              <w:t>3</w:t>
            </w:r>
          </w:p>
        </w:tc>
        <w:tc>
          <w:tcPr>
            <w:tcW w:w="1880" w:type="dxa"/>
            <w:vAlign w:val="bottom"/>
          </w:tcPr>
          <w:p>
            <w:pPr>
              <w:jc w:val="center"/>
              <w:spacing w:after="0" w:line="180" w:lineRule="exact"/>
              <w:rPr>
                <w:sz w:val="20"/>
                <w:szCs w:val="20"/>
                <w:color w:val="auto"/>
              </w:rPr>
            </w:pPr>
            <w:r>
              <w:rPr>
                <w:rFonts w:ascii="Arial" w:cs="Arial" w:eastAsia="Arial" w:hAnsi="Arial"/>
                <w:sz w:val="16"/>
                <w:szCs w:val="16"/>
                <w:color w:val="auto"/>
                <w:w w:val="78"/>
              </w:rPr>
              <w:t>33</w:t>
            </w:r>
          </w:p>
        </w:tc>
        <w:tc>
          <w:tcPr>
            <w:tcW w:w="640" w:type="dxa"/>
            <w:vAlign w:val="bottom"/>
          </w:tcPr>
          <w:p>
            <w:pPr>
              <w:jc w:val="right"/>
              <w:ind w:right="100"/>
              <w:spacing w:after="0" w:line="180" w:lineRule="exact"/>
              <w:rPr>
                <w:sz w:val="20"/>
                <w:szCs w:val="20"/>
                <w:color w:val="auto"/>
              </w:rPr>
            </w:pPr>
            <w:r>
              <w:rPr>
                <w:rFonts w:ascii="Arial" w:cs="Arial" w:eastAsia="Arial" w:hAnsi="Arial"/>
                <w:sz w:val="16"/>
                <w:szCs w:val="16"/>
                <w:color w:val="auto"/>
              </w:rPr>
              <w:t>94</w:t>
            </w:r>
          </w:p>
        </w:tc>
      </w:tr>
      <w:tr>
        <w:trPr>
          <w:trHeight w:val="178"/>
        </w:trPr>
        <w:tc>
          <w:tcPr>
            <w:tcW w:w="940" w:type="dxa"/>
            <w:vAlign w:val="bottom"/>
          </w:tcPr>
          <w:p>
            <w:pPr>
              <w:ind w:left="80"/>
              <w:spacing w:after="0" w:line="178" w:lineRule="exact"/>
              <w:rPr>
                <w:sz w:val="20"/>
                <w:szCs w:val="20"/>
                <w:color w:val="auto"/>
              </w:rPr>
            </w:pPr>
            <w:r>
              <w:rPr>
                <w:rFonts w:ascii="Arial" w:cs="Arial" w:eastAsia="Arial" w:hAnsi="Arial"/>
                <w:sz w:val="16"/>
                <w:szCs w:val="16"/>
                <w:color w:val="auto"/>
              </w:rPr>
              <w:t>19</w:t>
            </w:r>
          </w:p>
        </w:tc>
        <w:tc>
          <w:tcPr>
            <w:tcW w:w="1320" w:type="dxa"/>
            <w:vAlign w:val="bottom"/>
          </w:tcPr>
          <w:p>
            <w:pPr>
              <w:ind w:left="440"/>
              <w:spacing w:after="0" w:line="178" w:lineRule="exact"/>
              <w:rPr>
                <w:sz w:val="20"/>
                <w:szCs w:val="20"/>
                <w:color w:val="auto"/>
              </w:rPr>
            </w:pPr>
            <w:r>
              <w:rPr>
                <w:rFonts w:ascii="Arial" w:cs="Arial" w:eastAsia="Arial" w:hAnsi="Arial"/>
                <w:sz w:val="16"/>
                <w:szCs w:val="16"/>
                <w:color w:val="auto"/>
              </w:rPr>
              <w:t>F</w:t>
            </w:r>
          </w:p>
        </w:tc>
        <w:tc>
          <w:tcPr>
            <w:tcW w:w="1100" w:type="dxa"/>
            <w:vAlign w:val="bottom"/>
          </w:tcPr>
          <w:p>
            <w:pPr>
              <w:jc w:val="center"/>
              <w:spacing w:after="0" w:line="178" w:lineRule="exact"/>
              <w:rPr>
                <w:sz w:val="20"/>
                <w:szCs w:val="20"/>
                <w:color w:val="auto"/>
              </w:rPr>
            </w:pPr>
            <w:r>
              <w:rPr>
                <w:rFonts w:ascii="Arial" w:cs="Arial" w:eastAsia="Arial" w:hAnsi="Arial"/>
                <w:sz w:val="16"/>
                <w:szCs w:val="16"/>
                <w:color w:val="auto"/>
                <w:w w:val="89"/>
              </w:rPr>
              <w:t>61</w:t>
            </w:r>
          </w:p>
        </w:tc>
        <w:tc>
          <w:tcPr>
            <w:tcW w:w="1260" w:type="dxa"/>
            <w:vAlign w:val="bottom"/>
          </w:tcPr>
          <w:p>
            <w:pPr>
              <w:ind w:left="440"/>
              <w:spacing w:after="0" w:line="178" w:lineRule="exact"/>
              <w:rPr>
                <w:sz w:val="20"/>
                <w:szCs w:val="20"/>
                <w:color w:val="auto"/>
              </w:rPr>
            </w:pPr>
            <w:r>
              <w:rPr>
                <w:rFonts w:ascii="Arial" w:cs="Arial" w:eastAsia="Arial" w:hAnsi="Arial"/>
                <w:sz w:val="16"/>
                <w:szCs w:val="16"/>
                <w:color w:val="auto"/>
              </w:rPr>
              <w:t>L</w:t>
            </w:r>
          </w:p>
        </w:tc>
        <w:tc>
          <w:tcPr>
            <w:tcW w:w="1740" w:type="dxa"/>
            <w:vAlign w:val="bottom"/>
          </w:tcPr>
          <w:p>
            <w:pPr>
              <w:jc w:val="center"/>
              <w:spacing w:after="0" w:line="178" w:lineRule="exact"/>
              <w:rPr>
                <w:sz w:val="20"/>
                <w:szCs w:val="20"/>
                <w:color w:val="auto"/>
              </w:rPr>
            </w:pPr>
            <w:r>
              <w:rPr>
                <w:rFonts w:ascii="Arial" w:cs="Arial" w:eastAsia="Arial" w:hAnsi="Arial"/>
                <w:sz w:val="16"/>
                <w:szCs w:val="16"/>
                <w:color w:val="auto"/>
                <w:w w:val="82"/>
              </w:rPr>
              <w:t>4804.16</w:t>
            </w:r>
          </w:p>
        </w:tc>
        <w:tc>
          <w:tcPr>
            <w:tcW w:w="960" w:type="dxa"/>
            <w:vAlign w:val="bottom"/>
          </w:tcPr>
          <w:p>
            <w:pPr>
              <w:jc w:val="center"/>
              <w:ind w:left="200"/>
              <w:spacing w:after="0" w:line="178" w:lineRule="exact"/>
              <w:rPr>
                <w:sz w:val="20"/>
                <w:szCs w:val="20"/>
                <w:color w:val="auto"/>
              </w:rPr>
            </w:pPr>
            <w:r>
              <w:rPr>
                <w:rFonts w:ascii="Arial" w:cs="Arial" w:eastAsia="Arial" w:hAnsi="Arial"/>
                <w:sz w:val="16"/>
                <w:szCs w:val="16"/>
                <w:color w:val="auto"/>
                <w:w w:val="89"/>
              </w:rPr>
              <w:t>1</w:t>
            </w:r>
          </w:p>
        </w:tc>
        <w:tc>
          <w:tcPr>
            <w:tcW w:w="1880" w:type="dxa"/>
            <w:vAlign w:val="bottom"/>
          </w:tcPr>
          <w:p>
            <w:pPr>
              <w:jc w:val="center"/>
              <w:spacing w:after="0" w:line="178" w:lineRule="exact"/>
              <w:rPr>
                <w:sz w:val="20"/>
                <w:szCs w:val="20"/>
                <w:color w:val="auto"/>
              </w:rPr>
            </w:pPr>
            <w:r>
              <w:rPr>
                <w:rFonts w:ascii="Arial" w:cs="Arial" w:eastAsia="Arial" w:hAnsi="Arial"/>
                <w:sz w:val="16"/>
                <w:szCs w:val="16"/>
                <w:color w:val="auto"/>
                <w:w w:val="78"/>
              </w:rPr>
              <w:t>35</w:t>
            </w:r>
          </w:p>
        </w:tc>
        <w:tc>
          <w:tcPr>
            <w:tcW w:w="640" w:type="dxa"/>
            <w:vAlign w:val="bottom"/>
          </w:tcPr>
          <w:p>
            <w:pPr>
              <w:jc w:val="right"/>
              <w:ind w:right="100"/>
              <w:spacing w:after="0" w:line="178" w:lineRule="exact"/>
              <w:rPr>
                <w:sz w:val="20"/>
                <w:szCs w:val="20"/>
                <w:color w:val="auto"/>
              </w:rPr>
            </w:pPr>
            <w:r>
              <w:rPr>
                <w:rFonts w:ascii="Arial" w:cs="Arial" w:eastAsia="Arial" w:hAnsi="Arial"/>
                <w:sz w:val="16"/>
                <w:szCs w:val="16"/>
                <w:color w:val="auto"/>
              </w:rPr>
              <w:t>92</w:t>
            </w:r>
          </w:p>
        </w:tc>
      </w:tr>
      <w:tr>
        <w:trPr>
          <w:trHeight w:val="190"/>
        </w:trPr>
        <w:tc>
          <w:tcPr>
            <w:tcW w:w="940" w:type="dxa"/>
            <w:vAlign w:val="bottom"/>
            <w:tcBorders>
              <w:bottom w:val="single" w:sz="8" w:color="10147E"/>
            </w:tcBorders>
          </w:tcPr>
          <w:p>
            <w:pPr>
              <w:ind w:left="80"/>
              <w:spacing w:after="0" w:line="181" w:lineRule="exact"/>
              <w:rPr>
                <w:sz w:val="20"/>
                <w:szCs w:val="20"/>
                <w:color w:val="auto"/>
              </w:rPr>
            </w:pPr>
            <w:r>
              <w:rPr>
                <w:rFonts w:ascii="Arial" w:cs="Arial" w:eastAsia="Arial" w:hAnsi="Arial"/>
                <w:sz w:val="16"/>
                <w:szCs w:val="16"/>
                <w:color w:val="auto"/>
              </w:rPr>
              <w:t>20</w:t>
            </w:r>
          </w:p>
        </w:tc>
        <w:tc>
          <w:tcPr>
            <w:tcW w:w="1320" w:type="dxa"/>
            <w:vAlign w:val="bottom"/>
            <w:tcBorders>
              <w:bottom w:val="single" w:sz="8" w:color="10147E"/>
            </w:tcBorders>
          </w:tcPr>
          <w:p>
            <w:pPr>
              <w:ind w:left="440"/>
              <w:spacing w:after="0" w:line="181" w:lineRule="exact"/>
              <w:rPr>
                <w:sz w:val="20"/>
                <w:szCs w:val="20"/>
                <w:color w:val="auto"/>
              </w:rPr>
            </w:pPr>
            <w:r>
              <w:rPr>
                <w:rFonts w:ascii="Arial" w:cs="Arial" w:eastAsia="Arial" w:hAnsi="Arial"/>
                <w:sz w:val="16"/>
                <w:szCs w:val="16"/>
                <w:color w:val="auto"/>
              </w:rPr>
              <w:t>F</w:t>
            </w:r>
          </w:p>
        </w:tc>
        <w:tc>
          <w:tcPr>
            <w:tcW w:w="1100" w:type="dxa"/>
            <w:vAlign w:val="bottom"/>
            <w:tcBorders>
              <w:bottom w:val="single" w:sz="8" w:color="10147E"/>
            </w:tcBorders>
          </w:tcPr>
          <w:p>
            <w:pPr>
              <w:jc w:val="center"/>
              <w:spacing w:after="0" w:line="181" w:lineRule="exact"/>
              <w:rPr>
                <w:sz w:val="20"/>
                <w:szCs w:val="20"/>
                <w:color w:val="auto"/>
              </w:rPr>
            </w:pPr>
            <w:r>
              <w:rPr>
                <w:rFonts w:ascii="Arial" w:cs="Arial" w:eastAsia="Arial" w:hAnsi="Arial"/>
                <w:sz w:val="16"/>
                <w:szCs w:val="16"/>
                <w:color w:val="auto"/>
                <w:w w:val="89"/>
              </w:rPr>
              <w:t>73</w:t>
            </w:r>
          </w:p>
        </w:tc>
        <w:tc>
          <w:tcPr>
            <w:tcW w:w="1260" w:type="dxa"/>
            <w:vAlign w:val="bottom"/>
            <w:tcBorders>
              <w:bottom w:val="single" w:sz="8" w:color="10147E"/>
            </w:tcBorders>
          </w:tcPr>
          <w:p>
            <w:pPr>
              <w:ind w:left="440"/>
              <w:spacing w:after="0" w:line="181" w:lineRule="exact"/>
              <w:rPr>
                <w:sz w:val="20"/>
                <w:szCs w:val="20"/>
                <w:color w:val="auto"/>
              </w:rPr>
            </w:pPr>
            <w:r>
              <w:rPr>
                <w:rFonts w:ascii="Arial" w:cs="Arial" w:eastAsia="Arial" w:hAnsi="Arial"/>
                <w:sz w:val="16"/>
                <w:szCs w:val="16"/>
                <w:color w:val="auto"/>
              </w:rPr>
              <w:t>L</w:t>
            </w:r>
          </w:p>
        </w:tc>
        <w:tc>
          <w:tcPr>
            <w:tcW w:w="1740" w:type="dxa"/>
            <w:vAlign w:val="bottom"/>
            <w:tcBorders>
              <w:bottom w:val="single" w:sz="8" w:color="10147E"/>
            </w:tcBorders>
          </w:tcPr>
          <w:p>
            <w:pPr>
              <w:jc w:val="center"/>
              <w:spacing w:after="0" w:line="181" w:lineRule="exact"/>
              <w:rPr>
                <w:sz w:val="20"/>
                <w:szCs w:val="20"/>
                <w:color w:val="auto"/>
              </w:rPr>
            </w:pPr>
            <w:r>
              <w:rPr>
                <w:rFonts w:ascii="Arial" w:cs="Arial" w:eastAsia="Arial" w:hAnsi="Arial"/>
                <w:sz w:val="16"/>
                <w:szCs w:val="16"/>
                <w:color w:val="auto"/>
                <w:w w:val="82"/>
              </w:rPr>
              <w:t>3845.32</w:t>
            </w:r>
          </w:p>
        </w:tc>
        <w:tc>
          <w:tcPr>
            <w:tcW w:w="960" w:type="dxa"/>
            <w:vAlign w:val="bottom"/>
            <w:tcBorders>
              <w:bottom w:val="single" w:sz="8" w:color="10147E"/>
            </w:tcBorders>
          </w:tcPr>
          <w:p>
            <w:pPr>
              <w:jc w:val="center"/>
              <w:ind w:left="200"/>
              <w:spacing w:after="0" w:line="181" w:lineRule="exact"/>
              <w:rPr>
                <w:sz w:val="20"/>
                <w:szCs w:val="20"/>
                <w:color w:val="auto"/>
              </w:rPr>
            </w:pPr>
            <w:r>
              <w:rPr>
                <w:rFonts w:ascii="Arial" w:cs="Arial" w:eastAsia="Arial" w:hAnsi="Arial"/>
                <w:sz w:val="16"/>
                <w:szCs w:val="16"/>
                <w:color w:val="auto"/>
                <w:w w:val="89"/>
              </w:rPr>
              <w:t>3</w:t>
            </w:r>
          </w:p>
        </w:tc>
        <w:tc>
          <w:tcPr>
            <w:tcW w:w="1880" w:type="dxa"/>
            <w:vAlign w:val="bottom"/>
            <w:tcBorders>
              <w:bottom w:val="single" w:sz="8" w:color="10147E"/>
            </w:tcBorders>
          </w:tcPr>
          <w:p>
            <w:pPr>
              <w:jc w:val="center"/>
              <w:spacing w:after="0" w:line="181" w:lineRule="exact"/>
              <w:rPr>
                <w:sz w:val="20"/>
                <w:szCs w:val="20"/>
                <w:color w:val="auto"/>
              </w:rPr>
            </w:pPr>
            <w:r>
              <w:rPr>
                <w:rFonts w:ascii="Arial" w:cs="Arial" w:eastAsia="Arial" w:hAnsi="Arial"/>
                <w:sz w:val="16"/>
                <w:szCs w:val="16"/>
                <w:color w:val="auto"/>
                <w:w w:val="78"/>
              </w:rPr>
              <w:t>37</w:t>
            </w:r>
          </w:p>
        </w:tc>
        <w:tc>
          <w:tcPr>
            <w:tcW w:w="640" w:type="dxa"/>
            <w:vAlign w:val="bottom"/>
            <w:tcBorders>
              <w:bottom w:val="single" w:sz="8" w:color="10147E"/>
            </w:tcBorders>
          </w:tcPr>
          <w:p>
            <w:pPr>
              <w:jc w:val="right"/>
              <w:ind w:right="100"/>
              <w:spacing w:after="0" w:line="181" w:lineRule="exact"/>
              <w:rPr>
                <w:sz w:val="20"/>
                <w:szCs w:val="20"/>
                <w:color w:val="auto"/>
              </w:rPr>
            </w:pPr>
            <w:r>
              <w:rPr>
                <w:rFonts w:ascii="Arial" w:cs="Arial" w:eastAsia="Arial" w:hAnsi="Arial"/>
                <w:sz w:val="16"/>
                <w:szCs w:val="16"/>
                <w:color w:val="auto"/>
              </w:rPr>
              <w:t>98</w:t>
            </w:r>
          </w:p>
        </w:tc>
      </w:tr>
    </w:tbl>
    <w:p>
      <w:pPr>
        <w:spacing w:after="0" w:line="40" w:lineRule="exact"/>
        <w:rPr>
          <w:sz w:val="20"/>
          <w:szCs w:val="20"/>
          <w:color w:val="auto"/>
        </w:rPr>
      </w:pPr>
    </w:p>
    <w:p>
      <w:pPr>
        <w:spacing w:after="0"/>
        <w:rPr>
          <w:sz w:val="20"/>
          <w:szCs w:val="20"/>
          <w:color w:val="auto"/>
        </w:rPr>
      </w:pPr>
      <w:r>
        <w:rPr>
          <w:rFonts w:ascii="Arial" w:cs="Arial" w:eastAsia="Arial" w:hAnsi="Arial"/>
          <w:sz w:val="14"/>
          <w:szCs w:val="14"/>
          <w:color w:val="auto"/>
        </w:rPr>
        <w:t>Sex: M-male, F-female; Lesion: infarctional lesion, R-right side hemisphere (nondominant hemisphere), L-light side hemisphere (dominant hemisphere);</w:t>
      </w:r>
    </w:p>
    <w:p>
      <w:pPr>
        <w:spacing w:after="0" w:line="13" w:lineRule="exact"/>
        <w:rPr>
          <w:sz w:val="20"/>
          <w:szCs w:val="20"/>
          <w:color w:val="auto"/>
        </w:rPr>
      </w:pPr>
    </w:p>
    <w:p>
      <w:pPr>
        <w:ind w:left="120"/>
        <w:spacing w:after="0"/>
        <w:rPr>
          <w:sz w:val="20"/>
          <w:szCs w:val="20"/>
          <w:color w:val="auto"/>
        </w:rPr>
      </w:pPr>
      <w:r>
        <w:rPr>
          <w:rFonts w:ascii="Arial" w:cs="Arial" w:eastAsia="Arial" w:hAnsi="Arial"/>
          <w:sz w:val="16"/>
          <w:szCs w:val="16"/>
          <w:color w:val="auto"/>
        </w:rPr>
        <w:t>Checkpoint: the day after stroke</w:t>
      </w:r>
    </w:p>
    <w:p>
      <w:pPr>
        <w:spacing w:after="0" w:line="200" w:lineRule="exact"/>
        <w:rPr>
          <w:sz w:val="20"/>
          <w:szCs w:val="20"/>
          <w:color w:val="auto"/>
        </w:rPr>
      </w:pPr>
    </w:p>
    <w:p>
      <w:pPr>
        <w:spacing w:after="0" w:line="201" w:lineRule="exact"/>
        <w:rPr>
          <w:sz w:val="20"/>
          <w:szCs w:val="20"/>
          <w:color w:val="auto"/>
        </w:rPr>
      </w:pPr>
    </w:p>
    <w:p>
      <w:pPr>
        <w:ind w:left="820"/>
        <w:spacing w:after="0"/>
        <w:rPr>
          <w:sz w:val="20"/>
          <w:szCs w:val="20"/>
          <w:color w:val="auto"/>
        </w:rPr>
      </w:pPr>
      <w:r>
        <w:rPr>
          <w:rFonts w:ascii="Arial" w:cs="Arial" w:eastAsia="Arial" w:hAnsi="Arial"/>
          <w:sz w:val="19"/>
          <w:szCs w:val="19"/>
          <w:b w:val="1"/>
          <w:bCs w:val="1"/>
          <w:color w:val="10147E"/>
        </w:rPr>
        <w:t xml:space="preserve">Table 2. </w:t>
      </w:r>
      <w:r>
        <w:rPr>
          <w:rFonts w:ascii="Arial" w:cs="Arial" w:eastAsia="Arial" w:hAnsi="Arial"/>
          <w:sz w:val="19"/>
          <w:szCs w:val="19"/>
          <w:color w:val="000000"/>
        </w:rPr>
        <w:t>Finger-tapping in different periods (times/10 seconds,</w:t>
      </w:r>
      <w:r>
        <w:rPr>
          <w:rFonts w:ascii="Arial" w:cs="Arial" w:eastAsia="Arial" w:hAnsi="Arial"/>
          <w:sz w:val="19"/>
          <w:szCs w:val="19"/>
          <w:i w:val="1"/>
          <w:iCs w:val="1"/>
          <w:color w:val="000000"/>
        </w:rPr>
        <w:t>x</w:t>
      </w:r>
      <w:r>
        <w:rPr>
          <w:rFonts w:ascii="Arial" w:cs="Arial" w:eastAsia="Arial" w:hAnsi="Arial"/>
          <w:sz w:val="19"/>
          <w:szCs w:val="19"/>
          <w:color w:val="000000"/>
        </w:rPr>
        <w: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524510</wp:posOffset>
                </wp:positionH>
                <wp:positionV relativeFrom="paragraph">
                  <wp:posOffset>11430</wp:posOffset>
                </wp:positionV>
                <wp:extent cx="5198745"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198745" cy="4763"/>
                        </a:xfrm>
                        <a:prstGeom prst="line">
                          <a:avLst/>
                        </a:prstGeom>
                        <a:solidFill>
                          <a:srgbClr val="FFFFFF"/>
                        </a:solidFill>
                        <a:ln w="6350">
                          <a:solidFill>
                            <a:srgbClr val="10147E"/>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3pt,0.9pt" to="450.65pt,0.9pt" o:allowincell="f" strokecolor="#10147E" strokeweight="0.5pt"/>
            </w:pict>
          </mc:Fallback>
        </mc:AlternateContent>
      </w:r>
    </w:p>
    <w:p>
      <w:pPr>
        <w:spacing w:after="0" w:line="38" w:lineRule="exact"/>
        <w:rPr>
          <w:sz w:val="20"/>
          <w:szCs w:val="20"/>
          <w:color w:val="auto"/>
        </w:rPr>
      </w:pPr>
    </w:p>
    <w:tbl>
      <w:tblPr>
        <w:tblLayout w:type="fixed"/>
        <w:tblInd w:w="820" w:type="dxa"/>
        <w:tblCellMar>
          <w:top w:w="0" w:type="dxa"/>
          <w:left w:w="0" w:type="dxa"/>
          <w:bottom w:w="0" w:type="dxa"/>
          <w:right w:w="0" w:type="dxa"/>
        </w:tblCellMar>
      </w:tblPr>
      <w:tr>
        <w:trPr>
          <w:trHeight w:val="184"/>
        </w:trPr>
        <w:tc>
          <w:tcPr>
            <w:tcW w:w="1480" w:type="dxa"/>
            <w:vAlign w:val="bottom"/>
          </w:tcPr>
          <w:p>
            <w:pPr>
              <w:spacing w:after="0"/>
              <w:rPr>
                <w:sz w:val="16"/>
                <w:szCs w:val="16"/>
                <w:color w:val="auto"/>
              </w:rPr>
            </w:pPr>
          </w:p>
        </w:tc>
        <w:tc>
          <w:tcPr>
            <w:tcW w:w="1460" w:type="dxa"/>
            <w:vAlign w:val="bottom"/>
          </w:tcPr>
          <w:p>
            <w:pPr>
              <w:jc w:val="center"/>
              <w:spacing w:after="0"/>
              <w:rPr>
                <w:sz w:val="20"/>
                <w:szCs w:val="20"/>
                <w:color w:val="auto"/>
              </w:rPr>
            </w:pPr>
            <w:r>
              <w:rPr>
                <w:rFonts w:ascii="Arial" w:cs="Arial" w:eastAsia="Arial" w:hAnsi="Arial"/>
                <w:sz w:val="16"/>
                <w:szCs w:val="16"/>
                <w:color w:val="auto"/>
                <w:w w:val="82"/>
              </w:rPr>
              <w:t>T1(Session 1)</w:t>
            </w:r>
          </w:p>
        </w:tc>
        <w:tc>
          <w:tcPr>
            <w:tcW w:w="1580" w:type="dxa"/>
            <w:vAlign w:val="bottom"/>
          </w:tcPr>
          <w:p>
            <w:pPr>
              <w:jc w:val="center"/>
              <w:spacing w:after="0"/>
              <w:rPr>
                <w:sz w:val="20"/>
                <w:szCs w:val="20"/>
                <w:color w:val="auto"/>
              </w:rPr>
            </w:pPr>
            <w:r>
              <w:rPr>
                <w:rFonts w:ascii="Arial" w:cs="Arial" w:eastAsia="Arial" w:hAnsi="Arial"/>
                <w:sz w:val="16"/>
                <w:szCs w:val="16"/>
                <w:color w:val="auto"/>
                <w:w w:val="82"/>
              </w:rPr>
              <w:t>T2(Session 2)</w:t>
            </w:r>
          </w:p>
        </w:tc>
        <w:tc>
          <w:tcPr>
            <w:tcW w:w="1740" w:type="dxa"/>
            <w:vAlign w:val="bottom"/>
          </w:tcPr>
          <w:p>
            <w:pPr>
              <w:jc w:val="center"/>
              <w:spacing w:after="0"/>
              <w:rPr>
                <w:sz w:val="20"/>
                <w:szCs w:val="20"/>
                <w:color w:val="auto"/>
              </w:rPr>
            </w:pPr>
            <w:r>
              <w:rPr>
                <w:rFonts w:ascii="Arial" w:cs="Arial" w:eastAsia="Arial" w:hAnsi="Arial"/>
                <w:sz w:val="16"/>
                <w:szCs w:val="16"/>
                <w:color w:val="auto"/>
                <w:w w:val="82"/>
              </w:rPr>
              <w:t>T3(Session 3)</w:t>
            </w:r>
          </w:p>
        </w:tc>
        <w:tc>
          <w:tcPr>
            <w:tcW w:w="1080" w:type="dxa"/>
            <w:vAlign w:val="bottom"/>
          </w:tcPr>
          <w:p>
            <w:pPr>
              <w:jc w:val="center"/>
              <w:spacing w:after="0"/>
              <w:rPr>
                <w:sz w:val="20"/>
                <w:szCs w:val="20"/>
                <w:color w:val="auto"/>
              </w:rPr>
            </w:pPr>
            <w:r>
              <w:rPr>
                <w:rFonts w:ascii="Arial" w:cs="Arial" w:eastAsia="Arial" w:hAnsi="Arial"/>
                <w:sz w:val="16"/>
                <w:szCs w:val="16"/>
                <w:i w:val="1"/>
                <w:iCs w:val="1"/>
                <w:color w:val="auto"/>
                <w:w w:val="83"/>
              </w:rPr>
              <w:t xml:space="preserve">F </w:t>
            </w:r>
            <w:r>
              <w:rPr>
                <w:rFonts w:ascii="Arial" w:cs="Arial" w:eastAsia="Arial" w:hAnsi="Arial"/>
                <w:sz w:val="16"/>
                <w:szCs w:val="16"/>
                <w:color w:val="auto"/>
                <w:w w:val="83"/>
              </w:rPr>
              <w:t>value</w:t>
            </w:r>
          </w:p>
        </w:tc>
        <w:tc>
          <w:tcPr>
            <w:tcW w:w="860" w:type="dxa"/>
            <w:vAlign w:val="bottom"/>
          </w:tcPr>
          <w:p>
            <w:pPr>
              <w:jc w:val="center"/>
              <w:ind w:left="160"/>
              <w:spacing w:after="0"/>
              <w:rPr>
                <w:sz w:val="20"/>
                <w:szCs w:val="20"/>
                <w:color w:val="auto"/>
              </w:rPr>
            </w:pPr>
            <w:r>
              <w:rPr>
                <w:rFonts w:ascii="Arial" w:cs="Arial" w:eastAsia="Arial" w:hAnsi="Arial"/>
                <w:sz w:val="16"/>
                <w:szCs w:val="16"/>
                <w:i w:val="1"/>
                <w:iCs w:val="1"/>
                <w:color w:val="auto"/>
                <w:w w:val="84"/>
              </w:rPr>
              <w:t>P</w:t>
            </w:r>
            <w:r>
              <w:rPr>
                <w:rFonts w:ascii="Arial" w:cs="Arial" w:eastAsia="Arial" w:hAnsi="Arial"/>
                <w:sz w:val="16"/>
                <w:szCs w:val="16"/>
                <w:color w:val="auto"/>
                <w:w w:val="84"/>
              </w:rPr>
              <w:t>-value</w:t>
            </w:r>
          </w:p>
        </w:tc>
      </w:tr>
      <w:tr>
        <w:trPr>
          <w:trHeight w:val="20"/>
        </w:trPr>
        <w:tc>
          <w:tcPr>
            <w:tcW w:w="1480" w:type="dxa"/>
            <w:vAlign w:val="bottom"/>
            <w:tcBorders>
              <w:bottom w:val="single" w:sz="8" w:color="10147E"/>
            </w:tcBorders>
          </w:tcPr>
          <w:p>
            <w:pPr>
              <w:spacing w:after="0" w:line="20" w:lineRule="exact"/>
              <w:rPr>
                <w:sz w:val="1"/>
                <w:szCs w:val="1"/>
                <w:color w:val="auto"/>
              </w:rPr>
            </w:pPr>
          </w:p>
        </w:tc>
        <w:tc>
          <w:tcPr>
            <w:tcW w:w="1460" w:type="dxa"/>
            <w:vAlign w:val="bottom"/>
            <w:tcBorders>
              <w:bottom w:val="single" w:sz="8" w:color="10147E"/>
            </w:tcBorders>
          </w:tcPr>
          <w:p>
            <w:pPr>
              <w:spacing w:after="0" w:line="20" w:lineRule="exact"/>
              <w:rPr>
                <w:sz w:val="1"/>
                <w:szCs w:val="1"/>
                <w:color w:val="auto"/>
              </w:rPr>
            </w:pPr>
          </w:p>
        </w:tc>
        <w:tc>
          <w:tcPr>
            <w:tcW w:w="1580" w:type="dxa"/>
            <w:vAlign w:val="bottom"/>
            <w:tcBorders>
              <w:bottom w:val="single" w:sz="8" w:color="10147E"/>
            </w:tcBorders>
          </w:tcPr>
          <w:p>
            <w:pPr>
              <w:spacing w:after="0" w:line="20" w:lineRule="exact"/>
              <w:rPr>
                <w:sz w:val="1"/>
                <w:szCs w:val="1"/>
                <w:color w:val="auto"/>
              </w:rPr>
            </w:pPr>
          </w:p>
        </w:tc>
        <w:tc>
          <w:tcPr>
            <w:tcW w:w="1740" w:type="dxa"/>
            <w:vAlign w:val="bottom"/>
            <w:tcBorders>
              <w:bottom w:val="single" w:sz="8" w:color="10147E"/>
            </w:tcBorders>
          </w:tcPr>
          <w:p>
            <w:pPr>
              <w:spacing w:after="0" w:line="20" w:lineRule="exact"/>
              <w:rPr>
                <w:sz w:val="1"/>
                <w:szCs w:val="1"/>
                <w:color w:val="auto"/>
              </w:rPr>
            </w:pPr>
          </w:p>
        </w:tc>
        <w:tc>
          <w:tcPr>
            <w:tcW w:w="1080" w:type="dxa"/>
            <w:vAlign w:val="bottom"/>
            <w:tcBorders>
              <w:bottom w:val="single" w:sz="8" w:color="10147E"/>
            </w:tcBorders>
          </w:tcPr>
          <w:p>
            <w:pPr>
              <w:spacing w:after="0" w:line="20" w:lineRule="exact"/>
              <w:rPr>
                <w:sz w:val="1"/>
                <w:szCs w:val="1"/>
                <w:color w:val="auto"/>
              </w:rPr>
            </w:pPr>
          </w:p>
        </w:tc>
        <w:tc>
          <w:tcPr>
            <w:tcW w:w="860" w:type="dxa"/>
            <w:vAlign w:val="bottom"/>
            <w:tcBorders>
              <w:bottom w:val="single" w:sz="8" w:color="10147E"/>
            </w:tcBorders>
          </w:tcPr>
          <w:p>
            <w:pPr>
              <w:spacing w:after="0" w:line="20" w:lineRule="exact"/>
              <w:rPr>
                <w:sz w:val="1"/>
                <w:szCs w:val="1"/>
                <w:color w:val="auto"/>
              </w:rPr>
            </w:pPr>
          </w:p>
        </w:tc>
      </w:tr>
      <w:tr>
        <w:trPr>
          <w:trHeight w:val="175"/>
        </w:trPr>
        <w:tc>
          <w:tcPr>
            <w:tcW w:w="1480" w:type="dxa"/>
            <w:vAlign w:val="bottom"/>
          </w:tcPr>
          <w:p>
            <w:pPr>
              <w:ind w:left="80"/>
              <w:spacing w:after="0" w:line="175" w:lineRule="exact"/>
              <w:rPr>
                <w:sz w:val="20"/>
                <w:szCs w:val="20"/>
                <w:color w:val="auto"/>
              </w:rPr>
            </w:pPr>
            <w:r>
              <w:rPr>
                <w:rFonts w:ascii="Arial" w:cs="Arial" w:eastAsia="Arial" w:hAnsi="Arial"/>
                <w:sz w:val="16"/>
                <w:szCs w:val="16"/>
                <w:color w:val="auto"/>
              </w:rPr>
              <w:t>Group A (n = 10)</w:t>
            </w:r>
          </w:p>
        </w:tc>
        <w:tc>
          <w:tcPr>
            <w:tcW w:w="1460" w:type="dxa"/>
            <w:vAlign w:val="bottom"/>
          </w:tcPr>
          <w:p>
            <w:pPr>
              <w:jc w:val="center"/>
              <w:spacing w:after="0" w:line="175" w:lineRule="exact"/>
              <w:rPr>
                <w:sz w:val="20"/>
                <w:szCs w:val="20"/>
                <w:color w:val="auto"/>
              </w:rPr>
            </w:pPr>
            <w:r>
              <w:rPr>
                <w:rFonts w:ascii="Arial" w:cs="Arial" w:eastAsia="Arial" w:hAnsi="Arial"/>
                <w:sz w:val="16"/>
                <w:szCs w:val="16"/>
                <w:color w:val="auto"/>
                <w:w w:val="87"/>
              </w:rPr>
              <w:t>20.61 ± 3.28</w:t>
            </w:r>
          </w:p>
        </w:tc>
        <w:tc>
          <w:tcPr>
            <w:tcW w:w="1580" w:type="dxa"/>
            <w:vAlign w:val="bottom"/>
          </w:tcPr>
          <w:p>
            <w:pPr>
              <w:jc w:val="center"/>
              <w:spacing w:after="0" w:line="175" w:lineRule="exact"/>
              <w:rPr>
                <w:sz w:val="20"/>
                <w:szCs w:val="20"/>
                <w:color w:val="auto"/>
              </w:rPr>
            </w:pPr>
            <w:r>
              <w:rPr>
                <w:rFonts w:ascii="Arial" w:cs="Arial" w:eastAsia="Arial" w:hAnsi="Arial"/>
                <w:sz w:val="16"/>
                <w:szCs w:val="16"/>
                <w:color w:val="auto"/>
              </w:rPr>
              <w:t>26.49 ± 2.04</w:t>
            </w:r>
          </w:p>
        </w:tc>
        <w:tc>
          <w:tcPr>
            <w:tcW w:w="1740" w:type="dxa"/>
            <w:vAlign w:val="bottom"/>
          </w:tcPr>
          <w:p>
            <w:pPr>
              <w:jc w:val="center"/>
              <w:spacing w:after="0" w:line="175" w:lineRule="exact"/>
              <w:rPr>
                <w:sz w:val="20"/>
                <w:szCs w:val="20"/>
                <w:color w:val="auto"/>
              </w:rPr>
            </w:pPr>
            <w:r>
              <w:rPr>
                <w:rFonts w:ascii="Arial" w:cs="Arial" w:eastAsia="Arial" w:hAnsi="Arial"/>
                <w:sz w:val="16"/>
                <w:szCs w:val="16"/>
                <w:color w:val="auto"/>
              </w:rPr>
              <w:t>32.28 ± 2.34</w:t>
            </w:r>
          </w:p>
        </w:tc>
        <w:tc>
          <w:tcPr>
            <w:tcW w:w="1080" w:type="dxa"/>
            <w:vAlign w:val="bottom"/>
          </w:tcPr>
          <w:p>
            <w:pPr>
              <w:jc w:val="center"/>
              <w:spacing w:after="0" w:line="175" w:lineRule="exact"/>
              <w:rPr>
                <w:sz w:val="20"/>
                <w:szCs w:val="20"/>
                <w:color w:val="auto"/>
              </w:rPr>
            </w:pPr>
            <w:r>
              <w:rPr>
                <w:rFonts w:ascii="Arial" w:cs="Arial" w:eastAsia="Arial" w:hAnsi="Arial"/>
                <w:sz w:val="16"/>
                <w:szCs w:val="16"/>
                <w:color w:val="auto"/>
                <w:w w:val="84"/>
              </w:rPr>
              <w:t>57.69</w:t>
            </w:r>
          </w:p>
        </w:tc>
        <w:tc>
          <w:tcPr>
            <w:tcW w:w="860" w:type="dxa"/>
            <w:vAlign w:val="bottom"/>
          </w:tcPr>
          <w:p>
            <w:pPr>
              <w:jc w:val="center"/>
              <w:ind w:left="140"/>
              <w:spacing w:after="0" w:line="175" w:lineRule="exact"/>
              <w:rPr>
                <w:sz w:val="20"/>
                <w:szCs w:val="20"/>
                <w:color w:val="auto"/>
              </w:rPr>
            </w:pPr>
            <w:r>
              <w:rPr>
                <w:rFonts w:ascii="Arial" w:cs="Arial" w:eastAsia="Arial" w:hAnsi="Arial"/>
                <w:sz w:val="16"/>
                <w:szCs w:val="16"/>
                <w:color w:val="auto"/>
                <w:w w:val="88"/>
              </w:rPr>
              <w:t>&lt;0.05</w:t>
            </w:r>
          </w:p>
        </w:tc>
      </w:tr>
      <w:tr>
        <w:trPr>
          <w:trHeight w:val="202"/>
        </w:trPr>
        <w:tc>
          <w:tcPr>
            <w:tcW w:w="1480" w:type="dxa"/>
            <w:vAlign w:val="bottom"/>
          </w:tcPr>
          <w:p>
            <w:pPr>
              <w:ind w:left="80"/>
              <w:spacing w:after="0"/>
              <w:rPr>
                <w:sz w:val="20"/>
                <w:szCs w:val="20"/>
                <w:color w:val="auto"/>
              </w:rPr>
            </w:pPr>
            <w:r>
              <w:rPr>
                <w:rFonts w:ascii="Arial" w:cs="Arial" w:eastAsia="Arial" w:hAnsi="Arial"/>
                <w:sz w:val="16"/>
                <w:szCs w:val="16"/>
                <w:color w:val="auto"/>
              </w:rPr>
              <w:t>Group B</w:t>
            </w:r>
          </w:p>
        </w:tc>
        <w:tc>
          <w:tcPr>
            <w:tcW w:w="1460" w:type="dxa"/>
            <w:vAlign w:val="bottom"/>
          </w:tcPr>
          <w:p>
            <w:pPr>
              <w:jc w:val="center"/>
              <w:spacing w:after="0"/>
              <w:rPr>
                <w:sz w:val="20"/>
                <w:szCs w:val="20"/>
                <w:color w:val="auto"/>
              </w:rPr>
            </w:pPr>
            <w:r>
              <w:rPr>
                <w:rFonts w:ascii="Arial" w:cs="Arial" w:eastAsia="Arial" w:hAnsi="Arial"/>
                <w:sz w:val="16"/>
                <w:szCs w:val="16"/>
                <w:color w:val="auto"/>
                <w:w w:val="87"/>
              </w:rPr>
              <w:t>26.52 ± 2.81</w:t>
            </w:r>
          </w:p>
        </w:tc>
        <w:tc>
          <w:tcPr>
            <w:tcW w:w="1580" w:type="dxa"/>
            <w:vAlign w:val="bottom"/>
          </w:tcPr>
          <w:p>
            <w:pPr>
              <w:jc w:val="center"/>
              <w:spacing w:after="0" w:line="180" w:lineRule="exact"/>
              <w:rPr>
                <w:sz w:val="20"/>
                <w:szCs w:val="20"/>
                <w:color w:val="auto"/>
              </w:rPr>
            </w:pPr>
            <w:r>
              <w:rPr>
                <w:rFonts w:ascii="Arial" w:cs="Arial" w:eastAsia="Arial" w:hAnsi="Arial"/>
                <w:sz w:val="16"/>
                <w:szCs w:val="16"/>
                <w:color w:val="auto"/>
              </w:rPr>
              <w:t>32.71 ± 2.11</w:t>
            </w:r>
          </w:p>
        </w:tc>
        <w:tc>
          <w:tcPr>
            <w:tcW w:w="1740" w:type="dxa"/>
            <w:vAlign w:val="bottom"/>
          </w:tcPr>
          <w:p>
            <w:pPr>
              <w:jc w:val="center"/>
              <w:spacing w:after="0" w:line="178" w:lineRule="exact"/>
              <w:rPr>
                <w:sz w:val="20"/>
                <w:szCs w:val="20"/>
                <w:color w:val="auto"/>
              </w:rPr>
            </w:pPr>
            <w:r>
              <w:rPr>
                <w:rFonts w:ascii="Arial" w:cs="Arial" w:eastAsia="Arial" w:hAnsi="Arial"/>
                <w:sz w:val="16"/>
                <w:szCs w:val="16"/>
                <w:color w:val="auto"/>
              </w:rPr>
              <w:t>37.72 ± 3.01</w:t>
            </w:r>
          </w:p>
        </w:tc>
        <w:tc>
          <w:tcPr>
            <w:tcW w:w="1080" w:type="dxa"/>
            <w:vAlign w:val="bottom"/>
          </w:tcPr>
          <w:p>
            <w:pPr>
              <w:jc w:val="center"/>
              <w:spacing w:after="0"/>
              <w:rPr>
                <w:sz w:val="20"/>
                <w:szCs w:val="20"/>
                <w:color w:val="auto"/>
              </w:rPr>
            </w:pPr>
            <w:r>
              <w:rPr>
                <w:rFonts w:ascii="Arial" w:cs="Arial" w:eastAsia="Arial" w:hAnsi="Arial"/>
                <w:sz w:val="16"/>
                <w:szCs w:val="16"/>
                <w:color w:val="auto"/>
                <w:w w:val="84"/>
              </w:rPr>
              <w:t>46.48</w:t>
            </w:r>
          </w:p>
        </w:tc>
        <w:tc>
          <w:tcPr>
            <w:tcW w:w="860" w:type="dxa"/>
            <w:vAlign w:val="bottom"/>
          </w:tcPr>
          <w:p>
            <w:pPr>
              <w:jc w:val="center"/>
              <w:ind w:left="140"/>
              <w:spacing w:after="0"/>
              <w:rPr>
                <w:sz w:val="20"/>
                <w:szCs w:val="20"/>
                <w:color w:val="auto"/>
              </w:rPr>
            </w:pPr>
            <w:r>
              <w:rPr>
                <w:rFonts w:ascii="Arial" w:cs="Arial" w:eastAsia="Arial" w:hAnsi="Arial"/>
                <w:sz w:val="16"/>
                <w:szCs w:val="16"/>
                <w:color w:val="auto"/>
                <w:w w:val="88"/>
              </w:rPr>
              <w:t>&lt;0.05</w:t>
            </w:r>
          </w:p>
        </w:tc>
      </w:tr>
      <w:tr>
        <w:trPr>
          <w:trHeight w:val="178"/>
        </w:trPr>
        <w:tc>
          <w:tcPr>
            <w:tcW w:w="1480" w:type="dxa"/>
            <w:vAlign w:val="bottom"/>
          </w:tcPr>
          <w:p>
            <w:pPr>
              <w:ind w:left="300"/>
              <w:spacing w:after="0" w:line="178" w:lineRule="exact"/>
              <w:rPr>
                <w:sz w:val="20"/>
                <w:szCs w:val="20"/>
                <w:color w:val="auto"/>
              </w:rPr>
            </w:pPr>
            <w:r>
              <w:rPr>
                <w:rFonts w:ascii="Arial" w:cs="Arial" w:eastAsia="Arial" w:hAnsi="Arial"/>
                <w:sz w:val="16"/>
                <w:szCs w:val="16"/>
                <w:color w:val="auto"/>
              </w:rPr>
              <w:t>(n = 10)</w:t>
            </w:r>
          </w:p>
        </w:tc>
        <w:tc>
          <w:tcPr>
            <w:tcW w:w="1460" w:type="dxa"/>
            <w:vAlign w:val="bottom"/>
          </w:tcPr>
          <w:p>
            <w:pPr>
              <w:spacing w:after="0"/>
              <w:rPr>
                <w:sz w:val="15"/>
                <w:szCs w:val="15"/>
                <w:color w:val="auto"/>
              </w:rPr>
            </w:pPr>
          </w:p>
        </w:tc>
        <w:tc>
          <w:tcPr>
            <w:tcW w:w="1580" w:type="dxa"/>
            <w:vAlign w:val="bottom"/>
          </w:tcPr>
          <w:p>
            <w:pPr>
              <w:spacing w:after="0"/>
              <w:rPr>
                <w:sz w:val="15"/>
                <w:szCs w:val="15"/>
                <w:color w:val="auto"/>
              </w:rPr>
            </w:pPr>
          </w:p>
        </w:tc>
        <w:tc>
          <w:tcPr>
            <w:tcW w:w="1740" w:type="dxa"/>
            <w:vAlign w:val="bottom"/>
          </w:tcPr>
          <w:p>
            <w:pPr>
              <w:spacing w:after="0"/>
              <w:rPr>
                <w:sz w:val="15"/>
                <w:szCs w:val="15"/>
                <w:color w:val="auto"/>
              </w:rPr>
            </w:pPr>
          </w:p>
        </w:tc>
        <w:tc>
          <w:tcPr>
            <w:tcW w:w="1080" w:type="dxa"/>
            <w:vAlign w:val="bottom"/>
          </w:tcPr>
          <w:p>
            <w:pPr>
              <w:spacing w:after="0"/>
              <w:rPr>
                <w:sz w:val="15"/>
                <w:szCs w:val="15"/>
                <w:color w:val="auto"/>
              </w:rPr>
            </w:pPr>
          </w:p>
        </w:tc>
        <w:tc>
          <w:tcPr>
            <w:tcW w:w="860" w:type="dxa"/>
            <w:vAlign w:val="bottom"/>
          </w:tcPr>
          <w:p>
            <w:pPr>
              <w:spacing w:after="0"/>
              <w:rPr>
                <w:sz w:val="15"/>
                <w:szCs w:val="15"/>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524510</wp:posOffset>
                </wp:positionH>
                <wp:positionV relativeFrom="paragraph">
                  <wp:posOffset>15240</wp:posOffset>
                </wp:positionV>
                <wp:extent cx="5198745"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198745" cy="4763"/>
                        </a:xfrm>
                        <a:prstGeom prst="line">
                          <a:avLst/>
                        </a:prstGeom>
                        <a:solidFill>
                          <a:srgbClr val="FFFFFF"/>
                        </a:solidFill>
                        <a:ln w="6350">
                          <a:solidFill>
                            <a:srgbClr val="10147E"/>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3pt,1.2pt" to="450.65pt,1.2pt" o:allowincell="f" strokecolor="#10147E" strokeweight="0.5pt"/>
            </w:pict>
          </mc:Fallback>
        </mc:AlternateContent>
      </w:r>
    </w:p>
    <w:p>
      <w:pPr>
        <w:spacing w:after="0" w:line="20" w:lineRule="exact"/>
        <w:rPr>
          <w:sz w:val="20"/>
          <w:szCs w:val="20"/>
          <w:color w:val="auto"/>
        </w:rPr>
      </w:pPr>
    </w:p>
    <w:p>
      <w:pPr>
        <w:jc w:val="right"/>
        <w:ind w:right="4660"/>
        <w:spacing w:after="0"/>
        <w:tabs>
          <w:tab w:leader="none" w:pos="8420" w:val="left"/>
        </w:tabs>
        <w:rPr>
          <w:sz w:val="20"/>
          <w:szCs w:val="20"/>
          <w:color w:val="auto"/>
        </w:rPr>
      </w:pPr>
      <w:r>
        <w:rPr>
          <w:rFonts w:ascii="Arial" w:cs="Arial" w:eastAsia="Arial" w:hAnsi="Arial"/>
          <w:sz w:val="16"/>
          <w:szCs w:val="16"/>
          <w:color w:val="auto"/>
        </w:rPr>
        <w:t>Note:</w:t>
      </w:r>
      <w:r>
        <w:rPr>
          <w:sz w:val="20"/>
          <w:szCs w:val="20"/>
          <w:color w:val="auto"/>
        </w:rPr>
        <w:tab/>
      </w:r>
      <w:r>
        <w:rPr>
          <w:rFonts w:ascii="Arial" w:cs="Arial" w:eastAsia="Arial" w:hAnsi="Arial"/>
          <w:sz w:val="14"/>
          <w:szCs w:val="14"/>
          <w:color w:val="auto"/>
        </w:rPr>
        <w:t>The difference was statistically significant compared with T1</w:t>
      </w:r>
    </w:p>
    <w:p>
      <w:pPr>
        <w:spacing w:after="0" w:line="21" w:lineRule="exact"/>
        <w:rPr>
          <w:sz w:val="20"/>
          <w:szCs w:val="20"/>
          <w:color w:val="auto"/>
        </w:rPr>
      </w:pPr>
    </w:p>
    <w:p>
      <w:pPr>
        <w:jc w:val="right"/>
        <w:ind w:right="4720"/>
        <w:spacing w:after="0"/>
        <w:rPr>
          <w:sz w:val="20"/>
          <w:szCs w:val="20"/>
          <w:color w:val="auto"/>
        </w:rPr>
      </w:pPr>
      <w:r>
        <w:rPr>
          <w:rFonts w:ascii="Arial" w:cs="Arial" w:eastAsia="Arial" w:hAnsi="Arial"/>
          <w:sz w:val="16"/>
          <w:szCs w:val="16"/>
          <w:color w:val="auto"/>
        </w:rPr>
        <w:t>The difference was statistically significant compared with T2</w:t>
      </w:r>
    </w:p>
    <w:p>
      <w:pPr>
        <w:sectPr>
          <w:pgSz w:w="11880" w:h="15840" w:orient="portrait"/>
          <w:cols w:equalWidth="0" w:num="1">
            <w:col w:w="9840"/>
          </w:cols>
          <w:pgMar w:left="1020" w:top="520" w:right="1019" w:bottom="692" w:gutter="0" w:footer="0" w:header="0"/>
        </w:sect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3.1.2 Grip strength test</w:t>
      </w:r>
    </w:p>
    <w:p>
      <w:pPr>
        <w:spacing w:after="0" w:line="30" w:lineRule="exact"/>
        <w:rPr>
          <w:sz w:val="20"/>
          <w:szCs w:val="20"/>
          <w:color w:val="auto"/>
        </w:rPr>
      </w:pPr>
    </w:p>
    <w:p>
      <w:pPr>
        <w:jc w:val="both"/>
        <w:spacing w:after="0" w:line="295" w:lineRule="auto"/>
        <w:rPr>
          <w:rFonts w:ascii="Arial" w:cs="Arial" w:eastAsia="Arial" w:hAnsi="Arial"/>
          <w:sz w:val="21"/>
          <w:szCs w:val="21"/>
          <w:color w:val="auto"/>
        </w:rPr>
      </w:pPr>
      <w:r>
        <w:rPr>
          <w:rFonts w:ascii="Arial" w:cs="Arial" w:eastAsia="Arial" w:hAnsi="Arial"/>
          <w:sz w:val="21"/>
          <w:szCs w:val="21"/>
          <w:color w:val="auto"/>
        </w:rPr>
        <w:t>The improvements in the average grip strength in the right hand in the left hemisphere stroke group (group A) between session 1 and session 2 and between session 2 and session 3 were significant (p &lt; .05). The improvements in the average grip strength in the left hand in the right hemisphere stroke group (group B) between session 1 and ses-sion 2 and between session 2 and session 3 were significant (p &lt; .05) (</w:t>
      </w:r>
      <w:hyperlink w:anchor="page6">
        <w:r>
          <w:rPr>
            <w:rFonts w:ascii="Arial" w:cs="Arial" w:eastAsia="Arial" w:hAnsi="Arial"/>
            <w:sz w:val="21"/>
            <w:szCs w:val="21"/>
            <w:color w:val="000080"/>
          </w:rPr>
          <w:t>Table 3</w:t>
        </w:r>
      </w:hyperlink>
      <w:r>
        <w:rPr>
          <w:rFonts w:ascii="Arial" w:cs="Arial" w:eastAsia="Arial" w:hAnsi="Arial"/>
          <w:sz w:val="21"/>
          <w:szCs w:val="21"/>
          <w:color w:val="auto"/>
        </w:rPr>
        <w:t>).</w:t>
      </w:r>
    </w:p>
    <w:p>
      <w:pPr>
        <w:spacing w:after="0" w:line="342"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3.1.3 UE-FMA</w:t>
      </w:r>
    </w:p>
    <w:p>
      <w:pPr>
        <w:spacing w:after="0" w:line="30" w:lineRule="exact"/>
        <w:rPr>
          <w:sz w:val="20"/>
          <w:szCs w:val="20"/>
          <w:color w:val="auto"/>
        </w:rPr>
      </w:pPr>
    </w:p>
    <w:p>
      <w:pPr>
        <w:jc w:val="both"/>
        <w:spacing w:after="0" w:line="325" w:lineRule="auto"/>
        <w:rPr>
          <w:sz w:val="20"/>
          <w:szCs w:val="20"/>
          <w:color w:val="auto"/>
        </w:rPr>
      </w:pPr>
      <w:r>
        <w:rPr>
          <w:rFonts w:ascii="Arial" w:cs="Arial" w:eastAsia="Arial" w:hAnsi="Arial"/>
          <w:sz w:val="20"/>
          <w:szCs w:val="20"/>
          <w:color w:val="auto"/>
        </w:rPr>
        <w:t>The improvements in the average UE-FMA score in the right hand in the left hemisphere stroke group (group A) between session 1 and session 2 and between session 2 and session 3 were significant</w:t>
      </w:r>
    </w:p>
    <w:p>
      <w:pPr>
        <w:spacing w:after="0" w:line="280" w:lineRule="exact"/>
        <w:rPr>
          <w:sz w:val="20"/>
          <w:szCs w:val="20"/>
          <w:color w:val="auto"/>
        </w:rPr>
      </w:pPr>
    </w:p>
    <w:p>
      <w:pPr>
        <w:ind w:left="860"/>
        <w:spacing w:after="0"/>
        <w:rPr>
          <w:sz w:val="20"/>
          <w:szCs w:val="20"/>
          <w:color w:val="auto"/>
        </w:rPr>
      </w:pPr>
      <w:r>
        <w:rPr>
          <w:rFonts w:ascii="Arial" w:cs="Arial" w:eastAsia="Arial" w:hAnsi="Arial"/>
          <w:sz w:val="17"/>
          <w:szCs w:val="17"/>
          <w:b w:val="1"/>
          <w:bCs w:val="1"/>
          <w:color w:val="10147E"/>
        </w:rPr>
        <w:t xml:space="preserve">Table 3. </w:t>
      </w:r>
      <w:r>
        <w:rPr>
          <w:rFonts w:ascii="Arial" w:cs="Arial" w:eastAsia="Arial" w:hAnsi="Arial"/>
          <w:sz w:val="17"/>
          <w:szCs w:val="17"/>
          <w:color w:val="000000"/>
        </w:rPr>
        <w:t>Grip strength in different periods (kg,</w:t>
      </w:r>
      <w:r>
        <w:rPr>
          <w:rFonts w:ascii="Arial" w:cs="Arial" w:eastAsia="Arial" w:hAnsi="Arial"/>
          <w:sz w:val="17"/>
          <w:szCs w:val="17"/>
          <w:b w:val="1"/>
          <w:bCs w:val="1"/>
          <w:color w:val="10147E"/>
        </w:rPr>
        <w:t xml:space="preserve"> </w:t>
      </w:r>
      <w:r>
        <w:rPr>
          <w:rFonts w:ascii="Arial" w:cs="Arial" w:eastAsia="Arial" w:hAnsi="Arial"/>
          <w:sz w:val="17"/>
          <w:szCs w:val="17"/>
          <w:i w:val="1"/>
          <w:iCs w:val="1"/>
          <w:color w:val="000000"/>
        </w:rPr>
        <w:t>x</w:t>
      </w:r>
      <w:r>
        <w:rPr>
          <w:rFonts w:ascii="Arial" w:cs="Arial" w:eastAsia="Arial" w:hAnsi="Arial"/>
          <w:sz w:val="17"/>
          <w:szCs w:val="17"/>
          <w:color w:val="000000"/>
        </w:rPr>
        <w: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7" w:lineRule="exact"/>
        <w:rPr>
          <w:sz w:val="20"/>
          <w:szCs w:val="20"/>
          <w:color w:val="auto"/>
        </w:rPr>
      </w:pPr>
    </w:p>
    <w:p>
      <w:pPr>
        <w:jc w:val="both"/>
        <w:spacing w:after="0" w:line="301" w:lineRule="auto"/>
        <w:rPr>
          <w:rFonts w:ascii="Arial" w:cs="Arial" w:eastAsia="Arial" w:hAnsi="Arial"/>
          <w:sz w:val="21"/>
          <w:szCs w:val="21"/>
          <w:color w:val="auto"/>
        </w:rPr>
      </w:pPr>
      <w:r>
        <w:rPr>
          <w:rFonts w:ascii="Arial" w:cs="Arial" w:eastAsia="Arial" w:hAnsi="Arial"/>
          <w:sz w:val="21"/>
          <w:szCs w:val="21"/>
          <w:color w:val="auto"/>
        </w:rPr>
        <w:t>(p &lt; .05). The improvements in the average UE-FMA score in the left hand in the right hemisphere stroke group (group B) between session 1 and ses-sion 2 and between session 2 and session 3 were significant (p &lt; .05) (</w:t>
      </w:r>
      <w:hyperlink w:anchor="page7">
        <w:r>
          <w:rPr>
            <w:rFonts w:ascii="Arial" w:cs="Arial" w:eastAsia="Arial" w:hAnsi="Arial"/>
            <w:sz w:val="21"/>
            <w:szCs w:val="21"/>
            <w:color w:val="000080"/>
          </w:rPr>
          <w:t>Table 4</w:t>
        </w:r>
      </w:hyperlink>
      <w:r>
        <w:rPr>
          <w:rFonts w:ascii="Arial" w:cs="Arial" w:eastAsia="Arial" w:hAnsi="Arial"/>
          <w:sz w:val="21"/>
          <w:szCs w:val="21"/>
          <w:color w:val="auto"/>
        </w:rPr>
        <w:t>).</w:t>
      </w:r>
    </w:p>
    <w:p>
      <w:pPr>
        <w:spacing w:after="0" w:line="398" w:lineRule="exact"/>
        <w:rPr>
          <w:sz w:val="20"/>
          <w:szCs w:val="20"/>
          <w:color w:val="auto"/>
        </w:rPr>
      </w:pPr>
    </w:p>
    <w:p>
      <w:pPr>
        <w:spacing w:after="0"/>
        <w:rPr>
          <w:sz w:val="20"/>
          <w:szCs w:val="20"/>
          <w:color w:val="auto"/>
        </w:rPr>
      </w:pPr>
      <w:r>
        <w:rPr>
          <w:rFonts w:ascii="Arial" w:cs="Arial" w:eastAsia="Arial" w:hAnsi="Arial"/>
          <w:sz w:val="22"/>
          <w:szCs w:val="22"/>
          <w:b w:val="1"/>
          <w:bCs w:val="1"/>
          <w:color w:val="10147E"/>
        </w:rPr>
        <w:t>3. fMRI results</w:t>
      </w:r>
    </w:p>
    <w:p>
      <w:pPr>
        <w:spacing w:after="0" w:line="178"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3.1 Healthy control group (HC group)</w:t>
      </w:r>
    </w:p>
    <w:p>
      <w:pPr>
        <w:spacing w:after="0" w:line="175" w:lineRule="exact"/>
        <w:rPr>
          <w:sz w:val="20"/>
          <w:szCs w:val="20"/>
          <w:color w:val="auto"/>
        </w:rPr>
      </w:pPr>
    </w:p>
    <w:p>
      <w:pPr>
        <w:jc w:val="both"/>
        <w:spacing w:after="0" w:line="302" w:lineRule="auto"/>
        <w:rPr>
          <w:rFonts w:ascii="Arial" w:cs="Arial" w:eastAsia="Arial" w:hAnsi="Arial"/>
          <w:sz w:val="20"/>
          <w:szCs w:val="20"/>
          <w:color w:val="auto"/>
        </w:rPr>
      </w:pPr>
      <w:r>
        <w:rPr>
          <w:rFonts w:ascii="Arial" w:cs="Arial" w:eastAsia="Arial" w:hAnsi="Arial"/>
          <w:sz w:val="20"/>
          <w:szCs w:val="20"/>
          <w:color w:val="auto"/>
        </w:rPr>
        <w:t>We found significant activation in the contralateral precentral gyrus and contralateral postcentral gyrus during clenching of the left hand in the HC group. Furthermore, we observed significant activation in the contralateral precentral gyrus and contralateral postcentral gyrus during clenching of the right hand in the HC group (</w:t>
      </w:r>
      <w:hyperlink w:anchor="page7">
        <w:r>
          <w:rPr>
            <w:rFonts w:ascii="Arial" w:cs="Arial" w:eastAsia="Arial" w:hAnsi="Arial"/>
            <w:sz w:val="20"/>
            <w:szCs w:val="20"/>
            <w:color w:val="000080"/>
          </w:rPr>
          <w:t>Table 5</w:t>
        </w:r>
        <w:r>
          <w:rPr>
            <w:rFonts w:ascii="Arial" w:cs="Arial" w:eastAsia="Arial" w:hAnsi="Arial"/>
            <w:sz w:val="20"/>
            <w:szCs w:val="20"/>
            <w:color w:val="auto"/>
          </w:rPr>
          <w:t xml:space="preserve"> </w:t>
        </w:r>
      </w:hyperlink>
      <w:r>
        <w:rPr>
          <w:rFonts w:ascii="Arial" w:cs="Arial" w:eastAsia="Arial" w:hAnsi="Arial"/>
          <w:sz w:val="20"/>
          <w:szCs w:val="20"/>
          <w:color w:val="auto"/>
        </w:rPr>
        <w:t xml:space="preserve">and </w:t>
      </w:r>
      <w:hyperlink w:anchor="page7">
        <w:r>
          <w:rPr>
            <w:rFonts w:ascii="Arial" w:cs="Arial" w:eastAsia="Arial" w:hAnsi="Arial"/>
            <w:sz w:val="20"/>
            <w:szCs w:val="20"/>
            <w:color w:val="000080"/>
          </w:rPr>
          <w:t>Figure 3</w:t>
        </w:r>
      </w:hyperlink>
      <w:r>
        <w:rPr>
          <w:rFonts w:ascii="Arial" w:cs="Arial" w:eastAsia="Arial" w:hAnsi="Arial"/>
          <w:sz w:val="20"/>
          <w:szCs w:val="20"/>
          <w:color w:val="auto"/>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-2689225</wp:posOffset>
                </wp:positionH>
                <wp:positionV relativeFrom="paragraph">
                  <wp:posOffset>340995</wp:posOffset>
                </wp:positionV>
                <wp:extent cx="5149850"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149850" cy="4763"/>
                        </a:xfrm>
                        <a:prstGeom prst="line">
                          <a:avLst/>
                        </a:prstGeom>
                        <a:solidFill>
                          <a:srgbClr val="FFFFFF"/>
                        </a:solidFill>
                        <a:ln w="6350">
                          <a:solidFill>
                            <a:srgbClr val="10147E"/>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1.7499pt,26.85pt" to="193.75pt,26.85pt" o:allowincell="f" strokecolor="#10147E" strokeweight="0.5pt"/>
            </w:pict>
          </mc:Fallback>
        </mc:AlternateContent>
      </w:r>
    </w:p>
    <w:p>
      <w:pPr>
        <w:spacing w:after="0" w:line="574" w:lineRule="exact"/>
        <w:rPr>
          <w:sz w:val="20"/>
          <w:szCs w:val="20"/>
          <w:color w:val="auto"/>
        </w:rPr>
      </w:pPr>
    </w:p>
    <w:p>
      <w:pPr>
        <w:sectPr>
          <w:pgSz w:w="11880" w:h="15840" w:orient="portrait"/>
          <w:cols w:equalWidth="0" w:num="2">
            <w:col w:w="4740" w:space="360"/>
            <w:col w:w="4740"/>
          </w:cols>
          <w:pgMar w:left="1020" w:top="520" w:right="1019" w:bottom="692" w:gutter="0" w:footer="0" w:header="0"/>
          <w:type w:val="continuous"/>
        </w:sectPr>
      </w:pPr>
    </w:p>
    <w:tbl>
      <w:tblPr>
        <w:tblLayout w:type="fixed"/>
        <w:tblInd w:w="860" w:type="dxa"/>
        <w:tblCellMar>
          <w:top w:w="0" w:type="dxa"/>
          <w:left w:w="0" w:type="dxa"/>
          <w:bottom w:w="0" w:type="dxa"/>
          <w:right w:w="0" w:type="dxa"/>
        </w:tblCellMar>
      </w:tblPr>
      <w:tr>
        <w:trPr>
          <w:trHeight w:val="184"/>
        </w:trPr>
        <w:tc>
          <w:tcPr>
            <w:tcW w:w="1480" w:type="dxa"/>
            <w:vAlign w:val="bottom"/>
          </w:tcPr>
          <w:p>
            <w:pPr>
              <w:spacing w:after="0"/>
              <w:rPr>
                <w:sz w:val="15"/>
                <w:szCs w:val="15"/>
                <w:color w:val="auto"/>
              </w:rPr>
            </w:pPr>
          </w:p>
        </w:tc>
        <w:tc>
          <w:tcPr>
            <w:tcW w:w="1460" w:type="dxa"/>
            <w:vAlign w:val="bottom"/>
            <w:gridSpan w:val="2"/>
          </w:tcPr>
          <w:p>
            <w:pPr>
              <w:jc w:val="right"/>
              <w:ind w:right="240"/>
              <w:spacing w:after="0"/>
              <w:rPr>
                <w:sz w:val="20"/>
                <w:szCs w:val="20"/>
                <w:color w:val="auto"/>
              </w:rPr>
            </w:pPr>
            <w:r>
              <w:rPr>
                <w:rFonts w:ascii="Arial" w:cs="Arial" w:eastAsia="Arial" w:hAnsi="Arial"/>
                <w:sz w:val="16"/>
                <w:szCs w:val="16"/>
                <w:color w:val="auto"/>
              </w:rPr>
              <w:t>T1(Session 1)</w:t>
            </w:r>
          </w:p>
        </w:tc>
        <w:tc>
          <w:tcPr>
            <w:tcW w:w="1500" w:type="dxa"/>
            <w:vAlign w:val="bottom"/>
          </w:tcPr>
          <w:p>
            <w:pPr>
              <w:jc w:val="center"/>
              <w:spacing w:after="0"/>
              <w:rPr>
                <w:sz w:val="20"/>
                <w:szCs w:val="20"/>
                <w:color w:val="auto"/>
              </w:rPr>
            </w:pPr>
            <w:r>
              <w:rPr>
                <w:rFonts w:ascii="Arial" w:cs="Arial" w:eastAsia="Arial" w:hAnsi="Arial"/>
                <w:sz w:val="16"/>
                <w:szCs w:val="16"/>
                <w:color w:val="auto"/>
                <w:w w:val="82"/>
              </w:rPr>
              <w:t>T2(Session 2)</w:t>
            </w:r>
          </w:p>
        </w:tc>
        <w:tc>
          <w:tcPr>
            <w:tcW w:w="1740" w:type="dxa"/>
            <w:vAlign w:val="bottom"/>
          </w:tcPr>
          <w:p>
            <w:pPr>
              <w:jc w:val="center"/>
              <w:spacing w:after="0"/>
              <w:rPr>
                <w:sz w:val="20"/>
                <w:szCs w:val="20"/>
                <w:color w:val="auto"/>
              </w:rPr>
            </w:pPr>
            <w:r>
              <w:rPr>
                <w:rFonts w:ascii="Arial" w:cs="Arial" w:eastAsia="Arial" w:hAnsi="Arial"/>
                <w:sz w:val="16"/>
                <w:szCs w:val="16"/>
                <w:color w:val="auto"/>
                <w:w w:val="82"/>
              </w:rPr>
              <w:t>T3(Session 3)</w:t>
            </w:r>
          </w:p>
        </w:tc>
        <w:tc>
          <w:tcPr>
            <w:tcW w:w="1080" w:type="dxa"/>
            <w:vAlign w:val="bottom"/>
          </w:tcPr>
          <w:p>
            <w:pPr>
              <w:jc w:val="center"/>
              <w:spacing w:after="0"/>
              <w:rPr>
                <w:sz w:val="20"/>
                <w:szCs w:val="20"/>
                <w:color w:val="auto"/>
              </w:rPr>
            </w:pPr>
            <w:r>
              <w:rPr>
                <w:rFonts w:ascii="Arial" w:cs="Arial" w:eastAsia="Arial" w:hAnsi="Arial"/>
                <w:sz w:val="16"/>
                <w:szCs w:val="16"/>
                <w:i w:val="1"/>
                <w:iCs w:val="1"/>
                <w:color w:val="auto"/>
                <w:w w:val="83"/>
              </w:rPr>
              <w:t xml:space="preserve">F </w:t>
            </w:r>
            <w:r>
              <w:rPr>
                <w:rFonts w:ascii="Arial" w:cs="Arial" w:eastAsia="Arial" w:hAnsi="Arial"/>
                <w:sz w:val="16"/>
                <w:szCs w:val="16"/>
                <w:color w:val="auto"/>
                <w:w w:val="83"/>
              </w:rPr>
              <w:t>value</w:t>
            </w:r>
          </w:p>
        </w:tc>
        <w:tc>
          <w:tcPr>
            <w:tcW w:w="860" w:type="dxa"/>
            <w:vAlign w:val="bottom"/>
          </w:tcPr>
          <w:p>
            <w:pPr>
              <w:jc w:val="center"/>
              <w:ind w:left="160"/>
              <w:spacing w:after="0"/>
              <w:rPr>
                <w:sz w:val="20"/>
                <w:szCs w:val="20"/>
                <w:color w:val="auto"/>
              </w:rPr>
            </w:pPr>
            <w:r>
              <w:rPr>
                <w:rFonts w:ascii="Arial" w:cs="Arial" w:eastAsia="Arial" w:hAnsi="Arial"/>
                <w:sz w:val="16"/>
                <w:szCs w:val="16"/>
                <w:i w:val="1"/>
                <w:iCs w:val="1"/>
                <w:color w:val="auto"/>
                <w:w w:val="84"/>
              </w:rPr>
              <w:t>P</w:t>
            </w:r>
            <w:r>
              <w:rPr>
                <w:rFonts w:ascii="Arial" w:cs="Arial" w:eastAsia="Arial" w:hAnsi="Arial"/>
                <w:sz w:val="16"/>
                <w:szCs w:val="16"/>
                <w:color w:val="auto"/>
                <w:w w:val="84"/>
              </w:rPr>
              <w:t>-value</w:t>
            </w:r>
          </w:p>
        </w:tc>
      </w:tr>
      <w:tr>
        <w:trPr>
          <w:trHeight w:val="22"/>
        </w:trPr>
        <w:tc>
          <w:tcPr>
            <w:tcW w:w="1480" w:type="dxa"/>
            <w:vAlign w:val="bottom"/>
            <w:tcBorders>
              <w:bottom w:val="single" w:sz="8" w:color="10147E"/>
            </w:tcBorders>
          </w:tcPr>
          <w:p>
            <w:pPr>
              <w:spacing w:after="0" w:line="20" w:lineRule="exact"/>
              <w:rPr>
                <w:sz w:val="1"/>
                <w:szCs w:val="1"/>
                <w:color w:val="auto"/>
              </w:rPr>
            </w:pPr>
          </w:p>
        </w:tc>
        <w:tc>
          <w:tcPr>
            <w:tcW w:w="700" w:type="dxa"/>
            <w:vAlign w:val="bottom"/>
            <w:tcBorders>
              <w:bottom w:val="single" w:sz="8" w:color="10147E"/>
            </w:tcBorders>
          </w:tcPr>
          <w:p>
            <w:pPr>
              <w:spacing w:after="0" w:line="20" w:lineRule="exact"/>
              <w:rPr>
                <w:sz w:val="1"/>
                <w:szCs w:val="1"/>
                <w:color w:val="auto"/>
              </w:rPr>
            </w:pPr>
          </w:p>
        </w:tc>
        <w:tc>
          <w:tcPr>
            <w:tcW w:w="760" w:type="dxa"/>
            <w:vAlign w:val="bottom"/>
            <w:tcBorders>
              <w:bottom w:val="single" w:sz="8" w:color="10147E"/>
            </w:tcBorders>
          </w:tcPr>
          <w:p>
            <w:pPr>
              <w:spacing w:after="0" w:line="20" w:lineRule="exact"/>
              <w:rPr>
                <w:sz w:val="1"/>
                <w:szCs w:val="1"/>
                <w:color w:val="auto"/>
              </w:rPr>
            </w:pPr>
          </w:p>
        </w:tc>
        <w:tc>
          <w:tcPr>
            <w:tcW w:w="1500" w:type="dxa"/>
            <w:vAlign w:val="bottom"/>
            <w:tcBorders>
              <w:bottom w:val="single" w:sz="8" w:color="10147E"/>
            </w:tcBorders>
          </w:tcPr>
          <w:p>
            <w:pPr>
              <w:spacing w:after="0" w:line="20" w:lineRule="exact"/>
              <w:rPr>
                <w:sz w:val="1"/>
                <w:szCs w:val="1"/>
                <w:color w:val="auto"/>
              </w:rPr>
            </w:pPr>
          </w:p>
        </w:tc>
        <w:tc>
          <w:tcPr>
            <w:tcW w:w="1740" w:type="dxa"/>
            <w:vAlign w:val="bottom"/>
            <w:tcBorders>
              <w:bottom w:val="single" w:sz="8" w:color="10147E"/>
            </w:tcBorders>
          </w:tcPr>
          <w:p>
            <w:pPr>
              <w:spacing w:after="0" w:line="20" w:lineRule="exact"/>
              <w:rPr>
                <w:sz w:val="1"/>
                <w:szCs w:val="1"/>
                <w:color w:val="auto"/>
              </w:rPr>
            </w:pPr>
          </w:p>
        </w:tc>
        <w:tc>
          <w:tcPr>
            <w:tcW w:w="1080" w:type="dxa"/>
            <w:vAlign w:val="bottom"/>
            <w:tcBorders>
              <w:bottom w:val="single" w:sz="8" w:color="10147E"/>
            </w:tcBorders>
          </w:tcPr>
          <w:p>
            <w:pPr>
              <w:spacing w:after="0" w:line="20" w:lineRule="exact"/>
              <w:rPr>
                <w:sz w:val="1"/>
                <w:szCs w:val="1"/>
                <w:color w:val="auto"/>
              </w:rPr>
            </w:pPr>
          </w:p>
        </w:tc>
        <w:tc>
          <w:tcPr>
            <w:tcW w:w="860" w:type="dxa"/>
            <w:vAlign w:val="bottom"/>
            <w:tcBorders>
              <w:bottom w:val="single" w:sz="8" w:color="10147E"/>
            </w:tcBorders>
          </w:tcPr>
          <w:p>
            <w:pPr>
              <w:spacing w:after="0" w:line="20" w:lineRule="exact"/>
              <w:rPr>
                <w:sz w:val="1"/>
                <w:szCs w:val="1"/>
                <w:color w:val="auto"/>
              </w:rPr>
            </w:pPr>
          </w:p>
        </w:tc>
      </w:tr>
      <w:tr>
        <w:trPr>
          <w:trHeight w:val="175"/>
        </w:trPr>
        <w:tc>
          <w:tcPr>
            <w:tcW w:w="1480" w:type="dxa"/>
            <w:vAlign w:val="bottom"/>
          </w:tcPr>
          <w:p>
            <w:pPr>
              <w:ind w:left="80"/>
              <w:spacing w:after="0" w:line="175" w:lineRule="exact"/>
              <w:rPr>
                <w:sz w:val="20"/>
                <w:szCs w:val="20"/>
                <w:color w:val="auto"/>
              </w:rPr>
            </w:pPr>
            <w:r>
              <w:rPr>
                <w:rFonts w:ascii="Arial" w:cs="Arial" w:eastAsia="Arial" w:hAnsi="Arial"/>
                <w:sz w:val="16"/>
                <w:szCs w:val="16"/>
                <w:color w:val="auto"/>
              </w:rPr>
              <w:t>Group A (n = 10)</w:t>
            </w:r>
          </w:p>
        </w:tc>
        <w:tc>
          <w:tcPr>
            <w:tcW w:w="700" w:type="dxa"/>
            <w:vAlign w:val="bottom"/>
          </w:tcPr>
          <w:p>
            <w:pPr>
              <w:jc w:val="right"/>
              <w:spacing w:after="0" w:line="175" w:lineRule="exact"/>
              <w:rPr>
                <w:sz w:val="20"/>
                <w:szCs w:val="20"/>
                <w:color w:val="auto"/>
              </w:rPr>
            </w:pPr>
            <w:r>
              <w:rPr>
                <w:rFonts w:ascii="Arial" w:cs="Arial" w:eastAsia="Arial" w:hAnsi="Arial"/>
                <w:sz w:val="16"/>
                <w:szCs w:val="16"/>
                <w:color w:val="auto"/>
              </w:rPr>
              <w:t>14.21</w:t>
            </w:r>
          </w:p>
        </w:tc>
        <w:tc>
          <w:tcPr>
            <w:tcW w:w="760" w:type="dxa"/>
            <w:vAlign w:val="bottom"/>
          </w:tcPr>
          <w:p>
            <w:pPr>
              <w:jc w:val="right"/>
              <w:ind w:right="260"/>
              <w:spacing w:after="0" w:line="175" w:lineRule="exact"/>
              <w:rPr>
                <w:sz w:val="20"/>
                <w:szCs w:val="20"/>
                <w:color w:val="auto"/>
              </w:rPr>
            </w:pPr>
            <w:r>
              <w:rPr>
                <w:rFonts w:ascii="Arial" w:cs="Arial" w:eastAsia="Arial" w:hAnsi="Arial"/>
                <w:sz w:val="16"/>
                <w:szCs w:val="16"/>
                <w:color w:val="auto"/>
                <w:w w:val="90"/>
              </w:rPr>
              <w:t>± 2.93</w:t>
            </w:r>
          </w:p>
        </w:tc>
        <w:tc>
          <w:tcPr>
            <w:tcW w:w="1500" w:type="dxa"/>
            <w:vAlign w:val="bottom"/>
          </w:tcPr>
          <w:p>
            <w:pPr>
              <w:jc w:val="center"/>
              <w:spacing w:after="0" w:line="175" w:lineRule="exact"/>
              <w:rPr>
                <w:sz w:val="20"/>
                <w:szCs w:val="20"/>
                <w:color w:val="auto"/>
              </w:rPr>
            </w:pPr>
            <w:r>
              <w:rPr>
                <w:rFonts w:ascii="Arial" w:cs="Arial" w:eastAsia="Arial" w:hAnsi="Arial"/>
                <w:sz w:val="16"/>
                <w:szCs w:val="16"/>
                <w:color w:val="auto"/>
              </w:rPr>
              <w:t>20.6 ± 2.57</w:t>
            </w:r>
          </w:p>
        </w:tc>
        <w:tc>
          <w:tcPr>
            <w:tcW w:w="1740" w:type="dxa"/>
            <w:vAlign w:val="bottom"/>
          </w:tcPr>
          <w:p>
            <w:pPr>
              <w:jc w:val="center"/>
              <w:spacing w:after="0" w:line="175" w:lineRule="exact"/>
              <w:rPr>
                <w:sz w:val="20"/>
                <w:szCs w:val="20"/>
                <w:color w:val="auto"/>
              </w:rPr>
            </w:pPr>
            <w:r>
              <w:rPr>
                <w:rFonts w:ascii="Arial" w:cs="Arial" w:eastAsia="Arial" w:hAnsi="Arial"/>
                <w:sz w:val="16"/>
                <w:szCs w:val="16"/>
                <w:color w:val="auto"/>
              </w:rPr>
              <w:t>26.01 ± 2.87</w:t>
            </w:r>
          </w:p>
        </w:tc>
        <w:tc>
          <w:tcPr>
            <w:tcW w:w="1080" w:type="dxa"/>
            <w:vAlign w:val="bottom"/>
          </w:tcPr>
          <w:p>
            <w:pPr>
              <w:jc w:val="center"/>
              <w:spacing w:after="0" w:line="175" w:lineRule="exact"/>
              <w:rPr>
                <w:sz w:val="20"/>
                <w:szCs w:val="20"/>
                <w:color w:val="auto"/>
              </w:rPr>
            </w:pPr>
            <w:r>
              <w:rPr>
                <w:rFonts w:ascii="Arial" w:cs="Arial" w:eastAsia="Arial" w:hAnsi="Arial"/>
                <w:sz w:val="16"/>
                <w:szCs w:val="16"/>
                <w:color w:val="auto"/>
                <w:w w:val="79"/>
              </w:rPr>
              <w:t>24.06</w:t>
            </w:r>
          </w:p>
        </w:tc>
        <w:tc>
          <w:tcPr>
            <w:tcW w:w="860" w:type="dxa"/>
            <w:vAlign w:val="bottom"/>
          </w:tcPr>
          <w:p>
            <w:pPr>
              <w:jc w:val="center"/>
              <w:ind w:left="140"/>
              <w:spacing w:after="0" w:line="175" w:lineRule="exact"/>
              <w:rPr>
                <w:sz w:val="20"/>
                <w:szCs w:val="20"/>
                <w:color w:val="auto"/>
              </w:rPr>
            </w:pPr>
            <w:r>
              <w:rPr>
                <w:rFonts w:ascii="Arial" w:cs="Arial" w:eastAsia="Arial" w:hAnsi="Arial"/>
                <w:sz w:val="16"/>
                <w:szCs w:val="16"/>
                <w:color w:val="auto"/>
                <w:w w:val="88"/>
              </w:rPr>
              <w:t>&lt;0.05</w:t>
            </w:r>
          </w:p>
        </w:tc>
      </w:tr>
      <w:tr>
        <w:trPr>
          <w:trHeight w:val="243"/>
        </w:trPr>
        <w:tc>
          <w:tcPr>
            <w:tcW w:w="1480" w:type="dxa"/>
            <w:vAlign w:val="bottom"/>
          </w:tcPr>
          <w:p>
            <w:pPr>
              <w:ind w:left="80"/>
              <w:spacing w:after="0"/>
              <w:rPr>
                <w:sz w:val="20"/>
                <w:szCs w:val="20"/>
                <w:color w:val="auto"/>
              </w:rPr>
            </w:pPr>
            <w:r>
              <w:rPr>
                <w:rFonts w:ascii="Arial" w:cs="Arial" w:eastAsia="Arial" w:hAnsi="Arial"/>
                <w:sz w:val="16"/>
                <w:szCs w:val="16"/>
                <w:color w:val="auto"/>
              </w:rPr>
              <w:t>Group B (n = 10)</w:t>
            </w:r>
          </w:p>
        </w:tc>
        <w:tc>
          <w:tcPr>
            <w:tcW w:w="700" w:type="dxa"/>
            <w:vAlign w:val="bottom"/>
          </w:tcPr>
          <w:p>
            <w:pPr>
              <w:jc w:val="right"/>
              <w:spacing w:after="0"/>
              <w:rPr>
                <w:sz w:val="20"/>
                <w:szCs w:val="20"/>
                <w:color w:val="auto"/>
              </w:rPr>
            </w:pPr>
            <w:r>
              <w:rPr>
                <w:rFonts w:ascii="Arial" w:cs="Arial" w:eastAsia="Arial" w:hAnsi="Arial"/>
                <w:sz w:val="16"/>
                <w:szCs w:val="16"/>
                <w:color w:val="auto"/>
              </w:rPr>
              <w:t>9.37</w:t>
            </w:r>
          </w:p>
        </w:tc>
        <w:tc>
          <w:tcPr>
            <w:tcW w:w="760" w:type="dxa"/>
            <w:vAlign w:val="bottom"/>
          </w:tcPr>
          <w:p>
            <w:pPr>
              <w:jc w:val="right"/>
              <w:ind w:right="260"/>
              <w:spacing w:after="0"/>
              <w:rPr>
                <w:sz w:val="20"/>
                <w:szCs w:val="20"/>
                <w:color w:val="auto"/>
              </w:rPr>
            </w:pPr>
            <w:r>
              <w:rPr>
                <w:rFonts w:ascii="Arial" w:cs="Arial" w:eastAsia="Arial" w:hAnsi="Arial"/>
                <w:sz w:val="16"/>
                <w:szCs w:val="16"/>
                <w:color w:val="auto"/>
                <w:w w:val="90"/>
              </w:rPr>
              <w:t>± 2.34</w:t>
            </w:r>
          </w:p>
        </w:tc>
        <w:tc>
          <w:tcPr>
            <w:tcW w:w="1500" w:type="dxa"/>
            <w:vAlign w:val="bottom"/>
          </w:tcPr>
          <w:p>
            <w:pPr>
              <w:jc w:val="center"/>
              <w:spacing w:after="0" w:line="178" w:lineRule="exact"/>
              <w:rPr>
                <w:sz w:val="20"/>
                <w:szCs w:val="20"/>
                <w:color w:val="auto"/>
              </w:rPr>
            </w:pPr>
            <w:r>
              <w:rPr>
                <w:rFonts w:ascii="Arial" w:cs="Arial" w:eastAsia="Arial" w:hAnsi="Arial"/>
                <w:sz w:val="16"/>
                <w:szCs w:val="16"/>
                <w:color w:val="auto"/>
              </w:rPr>
              <w:t>15.3 ± 3.21</w:t>
            </w:r>
          </w:p>
        </w:tc>
        <w:tc>
          <w:tcPr>
            <w:tcW w:w="1740" w:type="dxa"/>
            <w:vAlign w:val="bottom"/>
          </w:tcPr>
          <w:p>
            <w:pPr>
              <w:jc w:val="center"/>
              <w:spacing w:after="0" w:line="178" w:lineRule="exact"/>
              <w:rPr>
                <w:sz w:val="20"/>
                <w:szCs w:val="20"/>
                <w:color w:val="auto"/>
              </w:rPr>
            </w:pPr>
            <w:r>
              <w:rPr>
                <w:rFonts w:ascii="Arial" w:cs="Arial" w:eastAsia="Arial" w:hAnsi="Arial"/>
                <w:sz w:val="16"/>
                <w:szCs w:val="16"/>
                <w:color w:val="auto"/>
              </w:rPr>
              <w:t>20.92 ± 2.91</w:t>
            </w:r>
          </w:p>
        </w:tc>
        <w:tc>
          <w:tcPr>
            <w:tcW w:w="1080" w:type="dxa"/>
            <w:vAlign w:val="bottom"/>
          </w:tcPr>
          <w:p>
            <w:pPr>
              <w:jc w:val="center"/>
              <w:spacing w:after="0"/>
              <w:rPr>
                <w:sz w:val="20"/>
                <w:szCs w:val="20"/>
                <w:color w:val="auto"/>
              </w:rPr>
            </w:pPr>
            <w:r>
              <w:rPr>
                <w:rFonts w:ascii="Arial" w:cs="Arial" w:eastAsia="Arial" w:hAnsi="Arial"/>
                <w:sz w:val="16"/>
                <w:szCs w:val="16"/>
                <w:color w:val="auto"/>
                <w:w w:val="79"/>
              </w:rPr>
              <w:t>34.23</w:t>
            </w:r>
          </w:p>
        </w:tc>
        <w:tc>
          <w:tcPr>
            <w:tcW w:w="860" w:type="dxa"/>
            <w:vAlign w:val="bottom"/>
          </w:tcPr>
          <w:p>
            <w:pPr>
              <w:jc w:val="center"/>
              <w:ind w:left="140"/>
              <w:spacing w:after="0"/>
              <w:rPr>
                <w:sz w:val="20"/>
                <w:szCs w:val="20"/>
                <w:color w:val="auto"/>
              </w:rPr>
            </w:pPr>
            <w:r>
              <w:rPr>
                <w:rFonts w:ascii="Arial" w:cs="Arial" w:eastAsia="Arial" w:hAnsi="Arial"/>
                <w:sz w:val="16"/>
                <w:szCs w:val="16"/>
                <w:color w:val="auto"/>
                <w:w w:val="88"/>
              </w:rPr>
              <w:t>&lt;0.05</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548640</wp:posOffset>
                </wp:positionH>
                <wp:positionV relativeFrom="paragraph">
                  <wp:posOffset>-11430</wp:posOffset>
                </wp:positionV>
                <wp:extent cx="5150485"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150485" cy="4763"/>
                        </a:xfrm>
                        <a:prstGeom prst="line">
                          <a:avLst/>
                        </a:prstGeom>
                        <a:solidFill>
                          <a:srgbClr val="FFFFFF"/>
                        </a:solidFill>
                        <a:ln w="6351">
                          <a:solidFill>
                            <a:srgbClr val="10147E"/>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2pt,-0.8999pt" to="448.75pt,-0.8999pt" o:allowincell="f" strokecolor="#10147E" strokeweight="0.5001pt"/>
            </w:pict>
          </mc:Fallback>
        </mc:AlternateContent>
      </w:r>
    </w:p>
    <w:p>
      <w:pPr>
        <w:jc w:val="right"/>
        <w:ind w:right="4620"/>
        <w:spacing w:after="0"/>
        <w:tabs>
          <w:tab w:leader="none" w:pos="7520" w:val="left"/>
        </w:tabs>
        <w:rPr>
          <w:sz w:val="20"/>
          <w:szCs w:val="20"/>
          <w:color w:val="auto"/>
        </w:rPr>
      </w:pPr>
      <w:r>
        <w:rPr>
          <w:rFonts w:ascii="Arial" w:cs="Arial" w:eastAsia="Arial" w:hAnsi="Arial"/>
          <w:sz w:val="16"/>
          <w:szCs w:val="16"/>
          <w:color w:val="auto"/>
        </w:rPr>
        <w:t>Note:</w:t>
      </w:r>
      <w:r>
        <w:rPr>
          <w:sz w:val="20"/>
          <w:szCs w:val="20"/>
          <w:color w:val="auto"/>
        </w:rPr>
        <w:tab/>
      </w:r>
      <w:r>
        <w:rPr>
          <w:rFonts w:ascii="Arial" w:cs="Arial" w:eastAsia="Arial" w:hAnsi="Arial"/>
          <w:sz w:val="14"/>
          <w:szCs w:val="14"/>
          <w:color w:val="auto"/>
        </w:rPr>
        <w:t>The difference was statistically significant compared with T1</w:t>
      </w:r>
    </w:p>
    <w:p>
      <w:pPr>
        <w:spacing w:after="0" w:line="19" w:lineRule="exact"/>
        <w:rPr>
          <w:sz w:val="20"/>
          <w:szCs w:val="20"/>
          <w:color w:val="auto"/>
        </w:rPr>
      </w:pPr>
    </w:p>
    <w:p>
      <w:pPr>
        <w:jc w:val="right"/>
        <w:ind w:right="4680"/>
        <w:spacing w:after="0"/>
        <w:rPr>
          <w:sz w:val="20"/>
          <w:szCs w:val="20"/>
          <w:color w:val="auto"/>
        </w:rPr>
      </w:pPr>
      <w:r>
        <w:rPr>
          <w:rFonts w:ascii="Arial" w:cs="Arial" w:eastAsia="Arial" w:hAnsi="Arial"/>
          <w:sz w:val="16"/>
          <w:szCs w:val="16"/>
          <w:color w:val="auto"/>
        </w:rPr>
        <w:t>The difference was statistically significant compared with T2</w:t>
      </w:r>
    </w:p>
    <w:p>
      <w:pPr>
        <w:sectPr>
          <w:pgSz w:w="11880" w:h="15840" w:orient="portrait"/>
          <w:cols w:equalWidth="0" w:num="1">
            <w:col w:w="9840"/>
          </w:cols>
          <w:pgMar w:left="1020" w:top="520" w:right="1019" w:bottom="692" w:gutter="0" w:footer="0" w:header="0"/>
          <w:type w:val="continuous"/>
        </w:sectPr>
      </w:pPr>
    </w:p>
    <w:bookmarkStart w:id="6" w:name="page7"/>
    <w:bookmarkEnd w:id="6"/>
    <w:p>
      <w:pPr>
        <w:spacing w:after="0"/>
        <w:tabs>
          <w:tab w:leader="none" w:pos="207" w:val="left"/>
        </w:tabs>
        <w:rPr>
          <w:sz w:val="20"/>
          <w:szCs w:val="20"/>
          <w:color w:val="auto"/>
        </w:rPr>
      </w:pPr>
      <w:r>
        <w:rPr>
          <w:rFonts w:ascii="Arial" w:cs="Arial" w:eastAsia="Arial" w:hAnsi="Arial"/>
          <w:sz w:val="15"/>
          <w:szCs w:val="15"/>
          <w:color w:val="auto"/>
        </w:rPr>
        <w:t>6</w:t>
      </w:r>
      <w:r>
        <w:rPr>
          <w:sz w:val="20"/>
          <w:szCs w:val="20"/>
          <w:color w:val="auto"/>
        </w:rPr>
        <w:tab/>
      </w:r>
      <w:r>
        <w:rPr>
          <w:sz w:val="1"/>
          <w:szCs w:val="1"/>
          <w:color w:val="auto"/>
        </w:rPr>
        <w:drawing>
          <wp:inline distT="0" distB="0" distL="0" distR="0">
            <wp:extent cx="139700" cy="1397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139700" cy="139700"/>
                    </a:xfrm>
                    <a:prstGeom prst="rect">
                      <a:avLst/>
                    </a:prstGeom>
                    <a:noFill/>
                    <a:ln>
                      <a:noFill/>
                    </a:ln>
                  </pic:spPr>
                </pic:pic>
              </a:graphicData>
            </a:graphic>
          </wp:inline>
        </w:drawing>
      </w:r>
      <w:r>
        <w:rPr>
          <w:rFonts w:ascii="Arial" w:cs="Arial" w:eastAsia="Arial" w:hAnsi="Arial"/>
          <w:sz w:val="15"/>
          <w:szCs w:val="15"/>
          <w:color w:val="auto"/>
        </w:rPr>
        <w:t xml:space="preserve">  L. CHUNYONG ET AL.</w:t>
      </w:r>
    </w:p>
    <w:p>
      <w:pPr>
        <w:spacing w:after="0" w:line="300" w:lineRule="exact"/>
        <w:rPr>
          <w:sz w:val="20"/>
          <w:szCs w:val="20"/>
          <w:color w:val="auto"/>
        </w:rPr>
      </w:pPr>
    </w:p>
    <w:tbl>
      <w:tblPr>
        <w:tblLayout w:type="fixed"/>
        <w:tblInd w:w="720" w:type="dxa"/>
        <w:tblCellMar>
          <w:top w:w="0" w:type="dxa"/>
          <w:left w:w="0" w:type="dxa"/>
          <w:bottom w:w="0" w:type="dxa"/>
          <w:right w:w="0" w:type="dxa"/>
        </w:tblCellMar>
      </w:tblPr>
      <w:tr>
        <w:trPr>
          <w:trHeight w:val="137"/>
        </w:trPr>
        <w:tc>
          <w:tcPr>
            <w:tcW w:w="1480" w:type="dxa"/>
            <w:vAlign w:val="bottom"/>
          </w:tcPr>
          <w:p>
            <w:pPr>
              <w:spacing w:after="0"/>
              <w:rPr>
                <w:sz w:val="11"/>
                <w:szCs w:val="11"/>
                <w:color w:val="auto"/>
              </w:rPr>
            </w:pPr>
          </w:p>
        </w:tc>
        <w:tc>
          <w:tcPr>
            <w:tcW w:w="1500" w:type="dxa"/>
            <w:vAlign w:val="bottom"/>
          </w:tcPr>
          <w:p>
            <w:pPr>
              <w:spacing w:after="0"/>
              <w:rPr>
                <w:sz w:val="11"/>
                <w:szCs w:val="11"/>
                <w:color w:val="auto"/>
              </w:rPr>
            </w:pPr>
          </w:p>
        </w:tc>
        <w:tc>
          <w:tcPr>
            <w:tcW w:w="1660" w:type="dxa"/>
            <w:vAlign w:val="bottom"/>
          </w:tcPr>
          <w:p>
            <w:pPr>
              <w:spacing w:after="0"/>
              <w:rPr>
                <w:sz w:val="11"/>
                <w:szCs w:val="11"/>
                <w:color w:val="auto"/>
              </w:rPr>
            </w:pPr>
          </w:p>
        </w:tc>
        <w:tc>
          <w:tcPr>
            <w:tcW w:w="18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860" w:type="dxa"/>
            <w:vAlign w:val="bottom"/>
          </w:tcPr>
          <w:p>
            <w:pPr>
              <w:spacing w:after="0"/>
              <w:rPr>
                <w:sz w:val="11"/>
                <w:szCs w:val="11"/>
                <w:color w:val="auto"/>
              </w:rPr>
            </w:pPr>
          </w:p>
        </w:tc>
      </w:tr>
      <w:tr>
        <w:trPr>
          <w:trHeight w:val="70"/>
        </w:trPr>
        <w:tc>
          <w:tcPr>
            <w:tcW w:w="4640" w:type="dxa"/>
            <w:vAlign w:val="bottom"/>
            <w:tcBorders>
              <w:bottom w:val="single" w:sz="8" w:color="10147E"/>
            </w:tcBorders>
            <w:gridSpan w:val="3"/>
          </w:tcPr>
          <w:p>
            <w:pPr>
              <w:spacing w:after="0" w:line="70" w:lineRule="exact"/>
              <w:rPr>
                <w:sz w:val="20"/>
                <w:szCs w:val="20"/>
                <w:color w:val="auto"/>
              </w:rPr>
            </w:pPr>
            <w:r>
              <w:rPr>
                <w:rFonts w:ascii="Arial" w:cs="Arial" w:eastAsia="Arial" w:hAnsi="Arial"/>
                <w:sz w:val="8"/>
                <w:szCs w:val="8"/>
                <w:b w:val="1"/>
                <w:bCs w:val="1"/>
                <w:color w:val="10147E"/>
              </w:rPr>
              <w:t xml:space="preserve">Table 4. </w:t>
            </w:r>
            <w:r>
              <w:rPr>
                <w:rFonts w:ascii="Arial" w:cs="Arial" w:eastAsia="Arial" w:hAnsi="Arial"/>
                <w:sz w:val="8"/>
                <w:szCs w:val="8"/>
                <w:color w:val="000000"/>
              </w:rPr>
              <w:t>UE-FMA scores in different periods (</w:t>
            </w:r>
            <w:r>
              <w:rPr>
                <w:rFonts w:ascii="Arial" w:cs="Arial" w:eastAsia="Arial" w:hAnsi="Arial"/>
                <w:sz w:val="8"/>
                <w:szCs w:val="8"/>
                <w:i w:val="1"/>
                <w:iCs w:val="1"/>
                <w:color w:val="000000"/>
              </w:rPr>
              <w:t>x</w:t>
            </w:r>
            <w:r>
              <w:rPr>
                <w:rFonts w:ascii="Arial" w:cs="Arial" w:eastAsia="Arial" w:hAnsi="Arial"/>
                <w:sz w:val="8"/>
                <w:szCs w:val="8"/>
                <w:color w:val="000000"/>
              </w:rPr>
              <w:t>±s).</w:t>
            </w:r>
          </w:p>
        </w:tc>
        <w:tc>
          <w:tcPr>
            <w:tcW w:w="1820" w:type="dxa"/>
            <w:vAlign w:val="bottom"/>
            <w:tcBorders>
              <w:bottom w:val="single" w:sz="8" w:color="10147E"/>
            </w:tcBorders>
          </w:tcPr>
          <w:p>
            <w:pPr>
              <w:spacing w:after="0"/>
              <w:rPr>
                <w:sz w:val="6"/>
                <w:szCs w:val="6"/>
                <w:color w:val="auto"/>
              </w:rPr>
            </w:pPr>
          </w:p>
        </w:tc>
        <w:tc>
          <w:tcPr>
            <w:tcW w:w="1080" w:type="dxa"/>
            <w:vAlign w:val="bottom"/>
            <w:tcBorders>
              <w:bottom w:val="single" w:sz="8" w:color="10147E"/>
            </w:tcBorders>
          </w:tcPr>
          <w:p>
            <w:pPr>
              <w:spacing w:after="0"/>
              <w:rPr>
                <w:sz w:val="6"/>
                <w:szCs w:val="6"/>
                <w:color w:val="auto"/>
              </w:rPr>
            </w:pPr>
          </w:p>
        </w:tc>
        <w:tc>
          <w:tcPr>
            <w:tcW w:w="860" w:type="dxa"/>
            <w:vAlign w:val="bottom"/>
            <w:tcBorders>
              <w:bottom w:val="single" w:sz="8" w:color="10147E"/>
            </w:tcBorders>
          </w:tcPr>
          <w:p>
            <w:pPr>
              <w:spacing w:after="0"/>
              <w:rPr>
                <w:sz w:val="6"/>
                <w:szCs w:val="6"/>
                <w:color w:val="auto"/>
              </w:rPr>
            </w:pPr>
          </w:p>
        </w:tc>
      </w:tr>
      <w:tr>
        <w:trPr>
          <w:trHeight w:val="208"/>
        </w:trPr>
        <w:tc>
          <w:tcPr>
            <w:tcW w:w="1480" w:type="dxa"/>
            <w:vAlign w:val="bottom"/>
          </w:tcPr>
          <w:p>
            <w:pPr>
              <w:spacing w:after="0"/>
              <w:rPr>
                <w:sz w:val="18"/>
                <w:szCs w:val="18"/>
                <w:color w:val="auto"/>
              </w:rPr>
            </w:pPr>
          </w:p>
        </w:tc>
        <w:tc>
          <w:tcPr>
            <w:tcW w:w="1500" w:type="dxa"/>
            <w:vAlign w:val="bottom"/>
          </w:tcPr>
          <w:p>
            <w:pPr>
              <w:jc w:val="center"/>
              <w:spacing w:after="0"/>
              <w:rPr>
                <w:sz w:val="20"/>
                <w:szCs w:val="20"/>
                <w:color w:val="auto"/>
              </w:rPr>
            </w:pPr>
            <w:r>
              <w:rPr>
                <w:rFonts w:ascii="Arial" w:cs="Arial" w:eastAsia="Arial" w:hAnsi="Arial"/>
                <w:sz w:val="16"/>
                <w:szCs w:val="16"/>
                <w:color w:val="auto"/>
                <w:w w:val="82"/>
              </w:rPr>
              <w:t>T1(Session 1)</w:t>
            </w:r>
          </w:p>
        </w:tc>
        <w:tc>
          <w:tcPr>
            <w:tcW w:w="1660" w:type="dxa"/>
            <w:vAlign w:val="bottom"/>
          </w:tcPr>
          <w:p>
            <w:pPr>
              <w:jc w:val="center"/>
              <w:spacing w:after="0"/>
              <w:rPr>
                <w:sz w:val="20"/>
                <w:szCs w:val="20"/>
                <w:color w:val="auto"/>
              </w:rPr>
            </w:pPr>
            <w:r>
              <w:rPr>
                <w:rFonts w:ascii="Arial" w:cs="Arial" w:eastAsia="Arial" w:hAnsi="Arial"/>
                <w:sz w:val="16"/>
                <w:szCs w:val="16"/>
                <w:color w:val="auto"/>
                <w:w w:val="82"/>
              </w:rPr>
              <w:t>T2(Session 2)</w:t>
            </w:r>
          </w:p>
        </w:tc>
        <w:tc>
          <w:tcPr>
            <w:tcW w:w="1820" w:type="dxa"/>
            <w:vAlign w:val="bottom"/>
          </w:tcPr>
          <w:p>
            <w:pPr>
              <w:jc w:val="center"/>
              <w:spacing w:after="0"/>
              <w:rPr>
                <w:sz w:val="20"/>
                <w:szCs w:val="20"/>
                <w:color w:val="auto"/>
              </w:rPr>
            </w:pPr>
            <w:r>
              <w:rPr>
                <w:rFonts w:ascii="Arial" w:cs="Arial" w:eastAsia="Arial" w:hAnsi="Arial"/>
                <w:sz w:val="16"/>
                <w:szCs w:val="16"/>
                <w:color w:val="auto"/>
                <w:w w:val="82"/>
              </w:rPr>
              <w:t>T3(Session 3)</w:t>
            </w:r>
          </w:p>
        </w:tc>
        <w:tc>
          <w:tcPr>
            <w:tcW w:w="1080" w:type="dxa"/>
            <w:vAlign w:val="bottom"/>
          </w:tcPr>
          <w:p>
            <w:pPr>
              <w:jc w:val="center"/>
              <w:spacing w:after="0"/>
              <w:rPr>
                <w:sz w:val="20"/>
                <w:szCs w:val="20"/>
                <w:color w:val="auto"/>
              </w:rPr>
            </w:pPr>
            <w:r>
              <w:rPr>
                <w:rFonts w:ascii="Arial" w:cs="Arial" w:eastAsia="Arial" w:hAnsi="Arial"/>
                <w:sz w:val="16"/>
                <w:szCs w:val="16"/>
                <w:i w:val="1"/>
                <w:iCs w:val="1"/>
                <w:color w:val="auto"/>
                <w:w w:val="83"/>
              </w:rPr>
              <w:t xml:space="preserve">F </w:t>
            </w:r>
            <w:r>
              <w:rPr>
                <w:rFonts w:ascii="Arial" w:cs="Arial" w:eastAsia="Arial" w:hAnsi="Arial"/>
                <w:sz w:val="16"/>
                <w:szCs w:val="16"/>
                <w:color w:val="auto"/>
                <w:w w:val="83"/>
              </w:rPr>
              <w:t>value</w:t>
            </w:r>
          </w:p>
        </w:tc>
        <w:tc>
          <w:tcPr>
            <w:tcW w:w="860" w:type="dxa"/>
            <w:vAlign w:val="bottom"/>
          </w:tcPr>
          <w:p>
            <w:pPr>
              <w:jc w:val="center"/>
              <w:ind w:left="140"/>
              <w:spacing w:after="0"/>
              <w:rPr>
                <w:sz w:val="20"/>
                <w:szCs w:val="20"/>
                <w:color w:val="auto"/>
              </w:rPr>
            </w:pPr>
            <w:r>
              <w:rPr>
                <w:rFonts w:ascii="Arial" w:cs="Arial" w:eastAsia="Arial" w:hAnsi="Arial"/>
                <w:sz w:val="16"/>
                <w:szCs w:val="16"/>
                <w:i w:val="1"/>
                <w:iCs w:val="1"/>
                <w:color w:val="auto"/>
                <w:w w:val="81"/>
              </w:rPr>
              <w:t>P</w:t>
            </w:r>
            <w:r>
              <w:rPr>
                <w:rFonts w:ascii="Arial" w:cs="Arial" w:eastAsia="Arial" w:hAnsi="Arial"/>
                <w:sz w:val="16"/>
                <w:szCs w:val="16"/>
                <w:color w:val="auto"/>
                <w:w w:val="81"/>
              </w:rPr>
              <w:t>-value</w:t>
            </w:r>
          </w:p>
        </w:tc>
      </w:tr>
      <w:tr>
        <w:trPr>
          <w:trHeight w:val="20"/>
        </w:trPr>
        <w:tc>
          <w:tcPr>
            <w:tcW w:w="1480" w:type="dxa"/>
            <w:vAlign w:val="bottom"/>
            <w:tcBorders>
              <w:bottom w:val="single" w:sz="8" w:color="10147E"/>
            </w:tcBorders>
          </w:tcPr>
          <w:p>
            <w:pPr>
              <w:spacing w:after="0" w:line="20" w:lineRule="exact"/>
              <w:rPr>
                <w:sz w:val="1"/>
                <w:szCs w:val="1"/>
                <w:color w:val="auto"/>
              </w:rPr>
            </w:pPr>
          </w:p>
        </w:tc>
        <w:tc>
          <w:tcPr>
            <w:tcW w:w="1500" w:type="dxa"/>
            <w:vAlign w:val="bottom"/>
            <w:tcBorders>
              <w:bottom w:val="single" w:sz="8" w:color="10147E"/>
            </w:tcBorders>
          </w:tcPr>
          <w:p>
            <w:pPr>
              <w:spacing w:after="0" w:line="20" w:lineRule="exact"/>
              <w:rPr>
                <w:sz w:val="1"/>
                <w:szCs w:val="1"/>
                <w:color w:val="auto"/>
              </w:rPr>
            </w:pPr>
          </w:p>
        </w:tc>
        <w:tc>
          <w:tcPr>
            <w:tcW w:w="1660" w:type="dxa"/>
            <w:vAlign w:val="bottom"/>
            <w:tcBorders>
              <w:bottom w:val="single" w:sz="8" w:color="10147E"/>
            </w:tcBorders>
          </w:tcPr>
          <w:p>
            <w:pPr>
              <w:spacing w:after="0" w:line="20" w:lineRule="exact"/>
              <w:rPr>
                <w:sz w:val="1"/>
                <w:szCs w:val="1"/>
                <w:color w:val="auto"/>
              </w:rPr>
            </w:pPr>
          </w:p>
        </w:tc>
        <w:tc>
          <w:tcPr>
            <w:tcW w:w="1820" w:type="dxa"/>
            <w:vAlign w:val="bottom"/>
            <w:tcBorders>
              <w:bottom w:val="single" w:sz="8" w:color="10147E"/>
            </w:tcBorders>
          </w:tcPr>
          <w:p>
            <w:pPr>
              <w:spacing w:after="0" w:line="20" w:lineRule="exact"/>
              <w:rPr>
                <w:sz w:val="1"/>
                <w:szCs w:val="1"/>
                <w:color w:val="auto"/>
              </w:rPr>
            </w:pPr>
          </w:p>
        </w:tc>
        <w:tc>
          <w:tcPr>
            <w:tcW w:w="1080" w:type="dxa"/>
            <w:vAlign w:val="bottom"/>
            <w:tcBorders>
              <w:bottom w:val="single" w:sz="8" w:color="10147E"/>
            </w:tcBorders>
          </w:tcPr>
          <w:p>
            <w:pPr>
              <w:spacing w:after="0" w:line="20" w:lineRule="exact"/>
              <w:rPr>
                <w:sz w:val="1"/>
                <w:szCs w:val="1"/>
                <w:color w:val="auto"/>
              </w:rPr>
            </w:pPr>
          </w:p>
        </w:tc>
        <w:tc>
          <w:tcPr>
            <w:tcW w:w="860" w:type="dxa"/>
            <w:vAlign w:val="bottom"/>
            <w:tcBorders>
              <w:bottom w:val="single" w:sz="8" w:color="10147E"/>
            </w:tcBorders>
          </w:tcPr>
          <w:p>
            <w:pPr>
              <w:spacing w:after="0" w:line="20" w:lineRule="exact"/>
              <w:rPr>
                <w:sz w:val="1"/>
                <w:szCs w:val="1"/>
                <w:color w:val="auto"/>
              </w:rPr>
            </w:pPr>
          </w:p>
        </w:tc>
      </w:tr>
      <w:tr>
        <w:trPr>
          <w:trHeight w:val="175"/>
        </w:trPr>
        <w:tc>
          <w:tcPr>
            <w:tcW w:w="1480" w:type="dxa"/>
            <w:vAlign w:val="bottom"/>
          </w:tcPr>
          <w:p>
            <w:pPr>
              <w:ind w:left="100"/>
              <w:spacing w:after="0" w:line="175" w:lineRule="exact"/>
              <w:rPr>
                <w:sz w:val="20"/>
                <w:szCs w:val="20"/>
                <w:color w:val="auto"/>
              </w:rPr>
            </w:pPr>
            <w:r>
              <w:rPr>
                <w:rFonts w:ascii="Arial" w:cs="Arial" w:eastAsia="Arial" w:hAnsi="Arial"/>
                <w:sz w:val="16"/>
                <w:szCs w:val="16"/>
                <w:color w:val="auto"/>
              </w:rPr>
              <w:t>Group A (n = 10)</w:t>
            </w:r>
          </w:p>
        </w:tc>
        <w:tc>
          <w:tcPr>
            <w:tcW w:w="1500" w:type="dxa"/>
            <w:vAlign w:val="bottom"/>
          </w:tcPr>
          <w:p>
            <w:pPr>
              <w:jc w:val="center"/>
              <w:spacing w:after="0" w:line="175" w:lineRule="exact"/>
              <w:rPr>
                <w:sz w:val="20"/>
                <w:szCs w:val="20"/>
                <w:color w:val="auto"/>
              </w:rPr>
            </w:pPr>
            <w:r>
              <w:rPr>
                <w:rFonts w:ascii="Arial" w:cs="Arial" w:eastAsia="Arial" w:hAnsi="Arial"/>
                <w:sz w:val="16"/>
                <w:szCs w:val="16"/>
                <w:color w:val="auto"/>
                <w:w w:val="87"/>
              </w:rPr>
              <w:t>24.43 ± 12.24</w:t>
            </w:r>
          </w:p>
        </w:tc>
        <w:tc>
          <w:tcPr>
            <w:tcW w:w="1660" w:type="dxa"/>
            <w:vAlign w:val="bottom"/>
          </w:tcPr>
          <w:p>
            <w:pPr>
              <w:jc w:val="center"/>
              <w:spacing w:after="0" w:line="175" w:lineRule="exact"/>
              <w:rPr>
                <w:sz w:val="20"/>
                <w:szCs w:val="20"/>
                <w:color w:val="auto"/>
              </w:rPr>
            </w:pPr>
            <w:r>
              <w:rPr>
                <w:rFonts w:ascii="Arial" w:cs="Arial" w:eastAsia="Arial" w:hAnsi="Arial"/>
                <w:sz w:val="16"/>
                <w:szCs w:val="16"/>
                <w:color w:val="auto"/>
              </w:rPr>
              <w:t>32.35 ± 12.03</w:t>
            </w:r>
          </w:p>
        </w:tc>
        <w:tc>
          <w:tcPr>
            <w:tcW w:w="1820" w:type="dxa"/>
            <w:vAlign w:val="bottom"/>
          </w:tcPr>
          <w:p>
            <w:pPr>
              <w:jc w:val="center"/>
              <w:spacing w:after="0" w:line="175" w:lineRule="exact"/>
              <w:rPr>
                <w:sz w:val="20"/>
                <w:szCs w:val="20"/>
                <w:color w:val="auto"/>
              </w:rPr>
            </w:pPr>
            <w:r>
              <w:rPr>
                <w:rFonts w:ascii="Arial" w:cs="Arial" w:eastAsia="Arial" w:hAnsi="Arial"/>
                <w:sz w:val="16"/>
                <w:szCs w:val="16"/>
                <w:color w:val="auto"/>
              </w:rPr>
              <w:t>45.21 ± 12.14</w:t>
            </w:r>
          </w:p>
        </w:tc>
        <w:tc>
          <w:tcPr>
            <w:tcW w:w="1080" w:type="dxa"/>
            <w:vAlign w:val="bottom"/>
          </w:tcPr>
          <w:p>
            <w:pPr>
              <w:jc w:val="center"/>
              <w:spacing w:after="0" w:line="175" w:lineRule="exact"/>
              <w:rPr>
                <w:sz w:val="20"/>
                <w:szCs w:val="20"/>
                <w:color w:val="auto"/>
              </w:rPr>
            </w:pPr>
            <w:r>
              <w:rPr>
                <w:rFonts w:ascii="Arial" w:cs="Arial" w:eastAsia="Arial" w:hAnsi="Arial"/>
                <w:sz w:val="16"/>
                <w:szCs w:val="16"/>
                <w:color w:val="auto"/>
                <w:w w:val="83"/>
              </w:rPr>
              <w:t>4.62</w:t>
            </w:r>
          </w:p>
        </w:tc>
        <w:tc>
          <w:tcPr>
            <w:tcW w:w="860" w:type="dxa"/>
            <w:vAlign w:val="bottom"/>
          </w:tcPr>
          <w:p>
            <w:pPr>
              <w:jc w:val="center"/>
              <w:ind w:left="140"/>
              <w:spacing w:after="0" w:line="175" w:lineRule="exact"/>
              <w:rPr>
                <w:sz w:val="20"/>
                <w:szCs w:val="20"/>
                <w:color w:val="auto"/>
              </w:rPr>
            </w:pPr>
            <w:r>
              <w:rPr>
                <w:rFonts w:ascii="Arial" w:cs="Arial" w:eastAsia="Arial" w:hAnsi="Arial"/>
                <w:sz w:val="16"/>
                <w:szCs w:val="16"/>
                <w:color w:val="auto"/>
                <w:w w:val="88"/>
              </w:rPr>
              <w:t>&lt;0.05</w:t>
            </w:r>
          </w:p>
        </w:tc>
      </w:tr>
      <w:tr>
        <w:trPr>
          <w:trHeight w:val="243"/>
        </w:trPr>
        <w:tc>
          <w:tcPr>
            <w:tcW w:w="1480" w:type="dxa"/>
            <w:vAlign w:val="bottom"/>
          </w:tcPr>
          <w:p>
            <w:pPr>
              <w:ind w:left="100"/>
              <w:spacing w:after="0"/>
              <w:rPr>
                <w:sz w:val="20"/>
                <w:szCs w:val="20"/>
                <w:color w:val="auto"/>
              </w:rPr>
            </w:pPr>
            <w:r>
              <w:rPr>
                <w:rFonts w:ascii="Arial" w:cs="Arial" w:eastAsia="Arial" w:hAnsi="Arial"/>
                <w:sz w:val="16"/>
                <w:szCs w:val="16"/>
                <w:color w:val="auto"/>
              </w:rPr>
              <w:t>Group B (n = 10)</w:t>
            </w:r>
          </w:p>
        </w:tc>
        <w:tc>
          <w:tcPr>
            <w:tcW w:w="1500" w:type="dxa"/>
            <w:vAlign w:val="bottom"/>
          </w:tcPr>
          <w:p>
            <w:pPr>
              <w:jc w:val="center"/>
              <w:spacing w:after="0"/>
              <w:rPr>
                <w:sz w:val="20"/>
                <w:szCs w:val="20"/>
                <w:color w:val="auto"/>
              </w:rPr>
            </w:pPr>
            <w:r>
              <w:rPr>
                <w:rFonts w:ascii="Arial" w:cs="Arial" w:eastAsia="Arial" w:hAnsi="Arial"/>
                <w:sz w:val="16"/>
                <w:szCs w:val="16"/>
                <w:color w:val="auto"/>
                <w:w w:val="87"/>
              </w:rPr>
              <w:t>26.34 ± 11.36</w:t>
            </w:r>
          </w:p>
        </w:tc>
        <w:tc>
          <w:tcPr>
            <w:tcW w:w="1660" w:type="dxa"/>
            <w:vAlign w:val="bottom"/>
          </w:tcPr>
          <w:p>
            <w:pPr>
              <w:jc w:val="center"/>
              <w:spacing w:after="0" w:line="178" w:lineRule="exact"/>
              <w:rPr>
                <w:sz w:val="20"/>
                <w:szCs w:val="20"/>
                <w:color w:val="auto"/>
              </w:rPr>
            </w:pPr>
            <w:r>
              <w:rPr>
                <w:rFonts w:ascii="Arial" w:cs="Arial" w:eastAsia="Arial" w:hAnsi="Arial"/>
                <w:sz w:val="16"/>
                <w:szCs w:val="16"/>
                <w:color w:val="auto"/>
              </w:rPr>
              <w:t>33.23 ± 10.43</w:t>
            </w:r>
          </w:p>
        </w:tc>
        <w:tc>
          <w:tcPr>
            <w:tcW w:w="1820" w:type="dxa"/>
            <w:vAlign w:val="bottom"/>
          </w:tcPr>
          <w:p>
            <w:pPr>
              <w:jc w:val="center"/>
              <w:spacing w:after="0" w:line="180" w:lineRule="exact"/>
              <w:rPr>
                <w:sz w:val="20"/>
                <w:szCs w:val="20"/>
                <w:color w:val="auto"/>
              </w:rPr>
            </w:pPr>
            <w:r>
              <w:rPr>
                <w:rFonts w:ascii="Arial" w:cs="Arial" w:eastAsia="Arial" w:hAnsi="Arial"/>
                <w:sz w:val="16"/>
                <w:szCs w:val="16"/>
                <w:color w:val="auto"/>
              </w:rPr>
              <w:t>44.23 ± 11.99</w:t>
            </w:r>
          </w:p>
        </w:tc>
        <w:tc>
          <w:tcPr>
            <w:tcW w:w="1080" w:type="dxa"/>
            <w:vAlign w:val="bottom"/>
          </w:tcPr>
          <w:p>
            <w:pPr>
              <w:jc w:val="center"/>
              <w:spacing w:after="0"/>
              <w:rPr>
                <w:sz w:val="20"/>
                <w:szCs w:val="20"/>
                <w:color w:val="auto"/>
              </w:rPr>
            </w:pPr>
            <w:r>
              <w:rPr>
                <w:rFonts w:ascii="Arial" w:cs="Arial" w:eastAsia="Arial" w:hAnsi="Arial"/>
                <w:sz w:val="16"/>
                <w:szCs w:val="16"/>
                <w:color w:val="auto"/>
                <w:w w:val="83"/>
              </w:rPr>
              <w:t>4.13</w:t>
            </w:r>
          </w:p>
        </w:tc>
        <w:tc>
          <w:tcPr>
            <w:tcW w:w="860" w:type="dxa"/>
            <w:vAlign w:val="bottom"/>
          </w:tcPr>
          <w:p>
            <w:pPr>
              <w:jc w:val="center"/>
              <w:ind w:left="140"/>
              <w:spacing w:after="0"/>
              <w:rPr>
                <w:sz w:val="20"/>
                <w:szCs w:val="20"/>
                <w:color w:val="auto"/>
              </w:rPr>
            </w:pPr>
            <w:r>
              <w:rPr>
                <w:rFonts w:ascii="Arial" w:cs="Arial" w:eastAsia="Arial" w:hAnsi="Arial"/>
                <w:sz w:val="16"/>
                <w:szCs w:val="16"/>
                <w:color w:val="auto"/>
                <w:w w:val="88"/>
              </w:rPr>
              <w:t>&lt;0.05</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462915</wp:posOffset>
                </wp:positionH>
                <wp:positionV relativeFrom="paragraph">
                  <wp:posOffset>-11430</wp:posOffset>
                </wp:positionV>
                <wp:extent cx="5321935"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21935" cy="4763"/>
                        </a:xfrm>
                        <a:prstGeom prst="line">
                          <a:avLst/>
                        </a:prstGeom>
                        <a:solidFill>
                          <a:srgbClr val="FFFFFF"/>
                        </a:solidFill>
                        <a:ln w="6350">
                          <a:solidFill>
                            <a:srgbClr val="10147E"/>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45pt,-0.8999pt" to="455.5pt,-0.8999pt" o:allowincell="f" strokecolor="#10147E" strokeweight="0.5pt"/>
            </w:pict>
          </mc:Fallback>
        </mc:AlternateContent>
      </w:r>
    </w:p>
    <w:p>
      <w:pPr>
        <w:jc w:val="right"/>
        <w:ind w:right="4760"/>
        <w:spacing w:after="0"/>
        <w:tabs>
          <w:tab w:leader="none" w:pos="7780" w:val="left"/>
        </w:tabs>
        <w:rPr>
          <w:sz w:val="20"/>
          <w:szCs w:val="20"/>
          <w:color w:val="auto"/>
        </w:rPr>
      </w:pPr>
      <w:r>
        <w:rPr>
          <w:rFonts w:ascii="Arial" w:cs="Arial" w:eastAsia="Arial" w:hAnsi="Arial"/>
          <w:sz w:val="16"/>
          <w:szCs w:val="16"/>
          <w:color w:val="auto"/>
        </w:rPr>
        <w:t>Note:</w:t>
      </w:r>
      <w:r>
        <w:rPr>
          <w:sz w:val="20"/>
          <w:szCs w:val="20"/>
          <w:color w:val="auto"/>
        </w:rPr>
        <w:tab/>
      </w:r>
      <w:r>
        <w:rPr>
          <w:rFonts w:ascii="Arial" w:cs="Arial" w:eastAsia="Arial" w:hAnsi="Arial"/>
          <w:sz w:val="14"/>
          <w:szCs w:val="14"/>
          <w:color w:val="auto"/>
        </w:rPr>
        <w:t>The difference was statistically significant compared with T1</w:t>
      </w:r>
    </w:p>
    <w:p>
      <w:pPr>
        <w:spacing w:after="0" w:line="18" w:lineRule="exact"/>
        <w:rPr>
          <w:sz w:val="20"/>
          <w:szCs w:val="20"/>
          <w:color w:val="auto"/>
        </w:rPr>
      </w:pPr>
    </w:p>
    <w:p>
      <w:pPr>
        <w:jc w:val="right"/>
        <w:ind w:right="4820"/>
        <w:spacing w:after="0"/>
        <w:rPr>
          <w:sz w:val="20"/>
          <w:szCs w:val="20"/>
          <w:color w:val="auto"/>
        </w:rPr>
      </w:pPr>
      <w:r>
        <w:rPr>
          <w:rFonts w:ascii="Arial" w:cs="Arial" w:eastAsia="Arial" w:hAnsi="Arial"/>
          <w:sz w:val="16"/>
          <w:szCs w:val="16"/>
          <w:color w:val="auto"/>
        </w:rPr>
        <w:t>The difference was statistically significant compared with T2</w:t>
      </w:r>
    </w:p>
    <w:p>
      <w:pPr>
        <w:sectPr>
          <w:pgSz w:w="11880" w:h="15840" w:orient="portrait"/>
          <w:cols w:equalWidth="0" w:num="1">
            <w:col w:w="9840"/>
          </w:cols>
          <w:pgMar w:left="1020" w:top="472" w:right="1019" w:bottom="352" w:gutter="0" w:footer="0" w:header="0"/>
        </w:sectPr>
      </w:pPr>
    </w:p>
    <w:p>
      <w:pPr>
        <w:spacing w:after="0" w:line="200" w:lineRule="exact"/>
        <w:rPr>
          <w:sz w:val="20"/>
          <w:szCs w:val="20"/>
          <w:color w:val="auto"/>
        </w:rPr>
      </w:pPr>
    </w:p>
    <w:p>
      <w:pPr>
        <w:spacing w:after="0" w:line="350" w:lineRule="exact"/>
        <w:rPr>
          <w:sz w:val="20"/>
          <w:szCs w:val="20"/>
          <w:color w:val="auto"/>
        </w:rPr>
      </w:pPr>
    </w:p>
    <w:p>
      <w:pPr>
        <w:spacing w:after="0" w:line="344" w:lineRule="auto"/>
        <w:rPr>
          <w:sz w:val="20"/>
          <w:szCs w:val="20"/>
          <w:color w:val="auto"/>
        </w:rPr>
      </w:pPr>
      <w:r>
        <w:rPr>
          <w:rFonts w:ascii="Arial" w:cs="Arial" w:eastAsia="Arial" w:hAnsi="Arial"/>
          <w:sz w:val="15"/>
          <w:szCs w:val="15"/>
          <w:b w:val="1"/>
          <w:bCs w:val="1"/>
          <w:color w:val="10147E"/>
        </w:rPr>
        <w:t xml:space="preserve">Table 5. </w:t>
      </w:r>
      <w:r>
        <w:rPr>
          <w:rFonts w:ascii="Arial" w:cs="Arial" w:eastAsia="Arial" w:hAnsi="Arial"/>
          <w:sz w:val="15"/>
          <w:szCs w:val="15"/>
          <w:color w:val="000000"/>
        </w:rPr>
        <w:t>MINI coordinates and T scores of the activated areas during</w:t>
      </w:r>
      <w:r>
        <w:rPr>
          <w:rFonts w:ascii="Arial" w:cs="Arial" w:eastAsia="Arial" w:hAnsi="Arial"/>
          <w:sz w:val="15"/>
          <w:szCs w:val="15"/>
          <w:b w:val="1"/>
          <w:bCs w:val="1"/>
          <w:color w:val="10147E"/>
        </w:rPr>
        <w:t xml:space="preserve"> </w:t>
      </w:r>
      <w:r>
        <w:rPr>
          <w:rFonts w:ascii="Arial" w:cs="Arial" w:eastAsia="Arial" w:hAnsi="Arial"/>
          <w:sz w:val="15"/>
          <w:szCs w:val="15"/>
          <w:color w:val="000000"/>
        </w:rPr>
        <w:t>right-hand and left-hand movements in the healthy control group.</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-27305</wp:posOffset>
                </wp:positionV>
                <wp:extent cx="300990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009900" cy="4763"/>
                        </a:xfrm>
                        <a:prstGeom prst="line">
                          <a:avLst/>
                        </a:prstGeom>
                        <a:solidFill>
                          <a:srgbClr val="FFFFFF"/>
                        </a:solidFill>
                        <a:ln w="6350">
                          <a:solidFill>
                            <a:srgbClr val="10147E"/>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1499pt" to="237pt,-2.1499pt" o:allowincell="f" strokecolor="#10147E" strokeweight="0.5pt"/>
            </w:pict>
          </mc:Fallback>
        </mc:AlternateContent>
      </w:r>
    </w:p>
    <w:tbl>
      <w:tblPr>
        <w:tblLayout w:type="fixed"/>
        <w:tblInd w:w="0" w:type="dxa"/>
        <w:tblCellMar>
          <w:top w:w="0" w:type="dxa"/>
          <w:left w:w="0" w:type="dxa"/>
          <w:bottom w:w="0" w:type="dxa"/>
          <w:right w:w="0" w:type="dxa"/>
        </w:tblCellMar>
      </w:tblPr>
      <w:tr>
        <w:trPr>
          <w:trHeight w:val="180"/>
        </w:trPr>
        <w:tc>
          <w:tcPr>
            <w:tcW w:w="700" w:type="dxa"/>
            <w:vAlign w:val="bottom"/>
          </w:tcPr>
          <w:p>
            <w:pPr>
              <w:spacing w:after="0"/>
              <w:rPr>
                <w:sz w:val="15"/>
                <w:szCs w:val="15"/>
                <w:color w:val="auto"/>
              </w:rPr>
            </w:pPr>
          </w:p>
        </w:tc>
        <w:tc>
          <w:tcPr>
            <w:tcW w:w="2120" w:type="dxa"/>
            <w:vAlign w:val="bottom"/>
            <w:gridSpan w:val="2"/>
          </w:tcPr>
          <w:p>
            <w:pPr>
              <w:ind w:left="360"/>
              <w:spacing w:after="0" w:line="181" w:lineRule="exact"/>
              <w:rPr>
                <w:sz w:val="20"/>
                <w:szCs w:val="20"/>
                <w:color w:val="auto"/>
              </w:rPr>
            </w:pPr>
            <w:r>
              <w:rPr>
                <w:rFonts w:ascii="Arial" w:cs="Arial" w:eastAsia="Arial" w:hAnsi="Arial"/>
                <w:sz w:val="16"/>
                <w:szCs w:val="16"/>
                <w:color w:val="auto"/>
              </w:rPr>
              <w:t>Right-hand movement</w:t>
            </w:r>
          </w:p>
        </w:tc>
        <w:tc>
          <w:tcPr>
            <w:tcW w:w="1920" w:type="dxa"/>
            <w:vAlign w:val="bottom"/>
            <w:gridSpan w:val="2"/>
          </w:tcPr>
          <w:p>
            <w:pPr>
              <w:ind w:left="360"/>
              <w:spacing w:after="0" w:line="181" w:lineRule="exact"/>
              <w:rPr>
                <w:sz w:val="20"/>
                <w:szCs w:val="20"/>
                <w:color w:val="auto"/>
              </w:rPr>
            </w:pPr>
            <w:r>
              <w:rPr>
                <w:rFonts w:ascii="Arial" w:cs="Arial" w:eastAsia="Arial" w:hAnsi="Arial"/>
                <w:sz w:val="16"/>
                <w:szCs w:val="16"/>
                <w:color w:val="auto"/>
              </w:rPr>
              <w:t>Left-hand movement</w:t>
            </w:r>
          </w:p>
        </w:tc>
      </w:tr>
      <w:tr>
        <w:trPr>
          <w:trHeight w:val="20"/>
        </w:trPr>
        <w:tc>
          <w:tcPr>
            <w:tcW w:w="700" w:type="dxa"/>
            <w:vAlign w:val="bottom"/>
            <w:tcBorders>
              <w:bottom w:val="single" w:sz="8" w:color="10147E"/>
            </w:tcBorders>
          </w:tcPr>
          <w:p>
            <w:pPr>
              <w:spacing w:after="0" w:line="20" w:lineRule="exact"/>
              <w:rPr>
                <w:sz w:val="1"/>
                <w:szCs w:val="1"/>
                <w:color w:val="auto"/>
              </w:rPr>
            </w:pPr>
          </w:p>
        </w:tc>
        <w:tc>
          <w:tcPr>
            <w:tcW w:w="1240" w:type="dxa"/>
            <w:vAlign w:val="bottom"/>
            <w:tcBorders>
              <w:bottom w:val="single" w:sz="8" w:color="10147E"/>
            </w:tcBorders>
          </w:tcPr>
          <w:p>
            <w:pPr>
              <w:spacing w:after="0" w:line="20" w:lineRule="exact"/>
              <w:rPr>
                <w:sz w:val="1"/>
                <w:szCs w:val="1"/>
                <w:color w:val="auto"/>
              </w:rPr>
            </w:pPr>
          </w:p>
        </w:tc>
        <w:tc>
          <w:tcPr>
            <w:tcW w:w="880" w:type="dxa"/>
            <w:vAlign w:val="bottom"/>
            <w:tcBorders>
              <w:bottom w:val="single" w:sz="8" w:color="10147E"/>
            </w:tcBorders>
          </w:tcPr>
          <w:p>
            <w:pPr>
              <w:spacing w:after="0" w:line="20" w:lineRule="exact"/>
              <w:rPr>
                <w:sz w:val="1"/>
                <w:szCs w:val="1"/>
                <w:color w:val="auto"/>
              </w:rPr>
            </w:pPr>
          </w:p>
        </w:tc>
        <w:tc>
          <w:tcPr>
            <w:tcW w:w="1160" w:type="dxa"/>
            <w:vAlign w:val="bottom"/>
            <w:tcBorders>
              <w:bottom w:val="single" w:sz="8" w:color="10147E"/>
            </w:tcBorders>
          </w:tcPr>
          <w:p>
            <w:pPr>
              <w:spacing w:after="0" w:line="20" w:lineRule="exact"/>
              <w:rPr>
                <w:sz w:val="1"/>
                <w:szCs w:val="1"/>
                <w:color w:val="auto"/>
              </w:rPr>
            </w:pPr>
          </w:p>
        </w:tc>
        <w:tc>
          <w:tcPr>
            <w:tcW w:w="760" w:type="dxa"/>
            <w:vAlign w:val="bottom"/>
            <w:tcBorders>
              <w:bottom w:val="single" w:sz="8" w:color="10147E"/>
            </w:tcBorders>
          </w:tcPr>
          <w:p>
            <w:pPr>
              <w:spacing w:after="0" w:line="20" w:lineRule="exact"/>
              <w:rPr>
                <w:sz w:val="1"/>
                <w:szCs w:val="1"/>
                <w:color w:val="auto"/>
              </w:rPr>
            </w:pPr>
          </w:p>
        </w:tc>
      </w:tr>
      <w:tr>
        <w:trPr>
          <w:trHeight w:val="198"/>
        </w:trPr>
        <w:tc>
          <w:tcPr>
            <w:tcW w:w="700" w:type="dxa"/>
            <w:vAlign w:val="bottom"/>
          </w:tcPr>
          <w:p>
            <w:pPr>
              <w:spacing w:after="0"/>
              <w:rPr>
                <w:sz w:val="17"/>
                <w:szCs w:val="17"/>
                <w:color w:val="auto"/>
              </w:rPr>
            </w:pPr>
          </w:p>
        </w:tc>
        <w:tc>
          <w:tcPr>
            <w:tcW w:w="1240" w:type="dxa"/>
            <w:vAlign w:val="bottom"/>
          </w:tcPr>
          <w:p>
            <w:pPr>
              <w:ind w:left="200"/>
              <w:spacing w:after="0"/>
              <w:rPr>
                <w:sz w:val="20"/>
                <w:szCs w:val="20"/>
                <w:color w:val="auto"/>
              </w:rPr>
            </w:pPr>
            <w:r>
              <w:rPr>
                <w:rFonts w:ascii="Arial" w:cs="Arial" w:eastAsia="Arial" w:hAnsi="Arial"/>
                <w:sz w:val="16"/>
                <w:szCs w:val="16"/>
                <w:color w:val="auto"/>
              </w:rPr>
              <w:t>x, y, z</w:t>
            </w:r>
          </w:p>
        </w:tc>
        <w:tc>
          <w:tcPr>
            <w:tcW w:w="880" w:type="dxa"/>
            <w:vAlign w:val="bottom"/>
          </w:tcPr>
          <w:p>
            <w:pPr>
              <w:jc w:val="center"/>
              <w:spacing w:after="0"/>
              <w:rPr>
                <w:sz w:val="20"/>
                <w:szCs w:val="20"/>
                <w:color w:val="auto"/>
              </w:rPr>
            </w:pPr>
            <w:r>
              <w:rPr>
                <w:rFonts w:ascii="Arial" w:cs="Arial" w:eastAsia="Arial" w:hAnsi="Arial"/>
                <w:sz w:val="16"/>
                <w:szCs w:val="16"/>
                <w:color w:val="auto"/>
                <w:w w:val="83"/>
              </w:rPr>
              <w:t>T value</w:t>
            </w:r>
          </w:p>
        </w:tc>
        <w:tc>
          <w:tcPr>
            <w:tcW w:w="1160" w:type="dxa"/>
            <w:vAlign w:val="bottom"/>
          </w:tcPr>
          <w:p>
            <w:pPr>
              <w:ind w:left="220"/>
              <w:spacing w:after="0"/>
              <w:rPr>
                <w:sz w:val="20"/>
                <w:szCs w:val="20"/>
                <w:color w:val="auto"/>
              </w:rPr>
            </w:pPr>
            <w:r>
              <w:rPr>
                <w:rFonts w:ascii="Arial" w:cs="Arial" w:eastAsia="Arial" w:hAnsi="Arial"/>
                <w:sz w:val="16"/>
                <w:szCs w:val="16"/>
                <w:color w:val="auto"/>
              </w:rPr>
              <w:t>x, y, z</w:t>
            </w:r>
          </w:p>
        </w:tc>
        <w:tc>
          <w:tcPr>
            <w:tcW w:w="760" w:type="dxa"/>
            <w:vAlign w:val="bottom"/>
          </w:tcPr>
          <w:p>
            <w:pPr>
              <w:jc w:val="center"/>
              <w:ind w:left="40"/>
              <w:spacing w:after="0"/>
              <w:rPr>
                <w:sz w:val="20"/>
                <w:szCs w:val="20"/>
                <w:color w:val="auto"/>
              </w:rPr>
            </w:pPr>
            <w:r>
              <w:rPr>
                <w:rFonts w:ascii="Arial" w:cs="Arial" w:eastAsia="Arial" w:hAnsi="Arial"/>
                <w:sz w:val="16"/>
                <w:szCs w:val="16"/>
                <w:color w:val="auto"/>
                <w:w w:val="83"/>
              </w:rPr>
              <w:t>T value</w:t>
            </w:r>
          </w:p>
        </w:tc>
      </w:tr>
      <w:tr>
        <w:trPr>
          <w:trHeight w:val="179"/>
        </w:trPr>
        <w:tc>
          <w:tcPr>
            <w:tcW w:w="700" w:type="dxa"/>
            <w:vAlign w:val="bottom"/>
          </w:tcPr>
          <w:p>
            <w:pPr>
              <w:ind w:left="80"/>
              <w:spacing w:after="0" w:line="180" w:lineRule="exact"/>
              <w:rPr>
                <w:sz w:val="20"/>
                <w:szCs w:val="20"/>
                <w:color w:val="auto"/>
              </w:rPr>
            </w:pPr>
            <w:r>
              <w:rPr>
                <w:rFonts w:ascii="Arial" w:cs="Arial" w:eastAsia="Arial" w:hAnsi="Arial"/>
                <w:sz w:val="15"/>
                <w:szCs w:val="15"/>
                <w:color w:val="auto"/>
              </w:rPr>
              <w:t>S1M1</w:t>
            </w:r>
            <w:r>
              <w:rPr>
                <w:rFonts w:ascii="Arial" w:cs="Arial" w:eastAsia="Arial" w:hAnsi="Arial"/>
                <w:sz w:val="20"/>
                <w:szCs w:val="20"/>
                <w:color w:val="auto"/>
                <w:vertAlign w:val="subscript"/>
              </w:rPr>
              <w:t>a</w:t>
            </w:r>
          </w:p>
        </w:tc>
        <w:tc>
          <w:tcPr>
            <w:tcW w:w="124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760" w:type="dxa"/>
            <w:vAlign w:val="bottom"/>
          </w:tcPr>
          <w:p>
            <w:pPr>
              <w:spacing w:after="0"/>
              <w:rPr>
                <w:sz w:val="15"/>
                <w:szCs w:val="15"/>
                <w:color w:val="auto"/>
              </w:rPr>
            </w:pPr>
          </w:p>
        </w:tc>
      </w:tr>
      <w:tr>
        <w:trPr>
          <w:trHeight w:val="197"/>
        </w:trPr>
        <w:tc>
          <w:tcPr>
            <w:tcW w:w="700" w:type="dxa"/>
            <w:vAlign w:val="bottom"/>
            <w:tcBorders>
              <w:bottom w:val="single" w:sz="8" w:color="10147E"/>
            </w:tcBorders>
          </w:tcPr>
          <w:p>
            <w:pPr>
              <w:ind w:left="80"/>
              <w:spacing w:after="0" w:line="198" w:lineRule="exact"/>
              <w:rPr>
                <w:sz w:val="20"/>
                <w:szCs w:val="20"/>
                <w:color w:val="auto"/>
              </w:rPr>
            </w:pPr>
            <w:r>
              <w:rPr>
                <w:rFonts w:ascii="Arial" w:cs="Arial" w:eastAsia="Arial" w:hAnsi="Arial"/>
                <w:sz w:val="16"/>
                <w:szCs w:val="16"/>
                <w:color w:val="auto"/>
              </w:rPr>
              <w:t>S1M1</w:t>
            </w:r>
            <w:r>
              <w:rPr>
                <w:rFonts w:ascii="Arial" w:cs="Arial" w:eastAsia="Arial" w:hAnsi="Arial"/>
                <w:sz w:val="21"/>
                <w:szCs w:val="21"/>
                <w:color w:val="auto"/>
                <w:vertAlign w:val="subscript"/>
              </w:rPr>
              <w:t>b</w:t>
            </w:r>
          </w:p>
        </w:tc>
        <w:tc>
          <w:tcPr>
            <w:tcW w:w="1240" w:type="dxa"/>
            <w:vAlign w:val="bottom"/>
            <w:tcBorders>
              <w:bottom w:val="single" w:sz="8" w:color="10147E"/>
            </w:tcBorders>
          </w:tcPr>
          <w:p>
            <w:pPr>
              <w:ind w:left="200"/>
              <w:spacing w:after="0" w:line="180" w:lineRule="exact"/>
              <w:rPr>
                <w:sz w:val="20"/>
                <w:szCs w:val="20"/>
                <w:color w:val="auto"/>
              </w:rPr>
            </w:pPr>
            <w:r>
              <w:rPr>
                <w:rFonts w:ascii="Arial" w:cs="Arial" w:eastAsia="Arial" w:hAnsi="Arial"/>
                <w:sz w:val="16"/>
                <w:szCs w:val="16"/>
                <w:color w:val="auto"/>
              </w:rPr>
              <w:t>−51, −36, 54</w:t>
            </w:r>
          </w:p>
        </w:tc>
        <w:tc>
          <w:tcPr>
            <w:tcW w:w="880" w:type="dxa"/>
            <w:vAlign w:val="bottom"/>
            <w:tcBorders>
              <w:bottom w:val="single" w:sz="8" w:color="10147E"/>
            </w:tcBorders>
          </w:tcPr>
          <w:p>
            <w:pPr>
              <w:jc w:val="right"/>
              <w:ind w:right="220"/>
              <w:spacing w:after="0" w:line="180" w:lineRule="exact"/>
              <w:rPr>
                <w:sz w:val="20"/>
                <w:szCs w:val="20"/>
                <w:color w:val="auto"/>
              </w:rPr>
            </w:pPr>
            <w:r>
              <w:rPr>
                <w:rFonts w:ascii="Arial" w:cs="Arial" w:eastAsia="Arial" w:hAnsi="Arial"/>
                <w:sz w:val="16"/>
                <w:szCs w:val="16"/>
                <w:color w:val="auto"/>
              </w:rPr>
              <w:t>8.74</w:t>
            </w:r>
          </w:p>
        </w:tc>
        <w:tc>
          <w:tcPr>
            <w:tcW w:w="1160" w:type="dxa"/>
            <w:vAlign w:val="bottom"/>
            <w:tcBorders>
              <w:bottom w:val="single" w:sz="8" w:color="10147E"/>
            </w:tcBorders>
          </w:tcPr>
          <w:p>
            <w:pPr>
              <w:ind w:left="220"/>
              <w:spacing w:after="0" w:line="180" w:lineRule="exact"/>
              <w:rPr>
                <w:sz w:val="20"/>
                <w:szCs w:val="20"/>
                <w:color w:val="auto"/>
              </w:rPr>
            </w:pPr>
            <w:r>
              <w:rPr>
                <w:rFonts w:ascii="Arial" w:cs="Arial" w:eastAsia="Arial" w:hAnsi="Arial"/>
                <w:sz w:val="16"/>
                <w:szCs w:val="16"/>
                <w:color w:val="auto"/>
              </w:rPr>
              <w:t>30, −12, 69</w:t>
            </w:r>
          </w:p>
        </w:tc>
        <w:tc>
          <w:tcPr>
            <w:tcW w:w="760" w:type="dxa"/>
            <w:vAlign w:val="bottom"/>
            <w:tcBorders>
              <w:bottom w:val="single" w:sz="8" w:color="10147E"/>
            </w:tcBorders>
          </w:tcPr>
          <w:p>
            <w:pPr>
              <w:jc w:val="right"/>
              <w:ind w:right="100"/>
              <w:spacing w:after="0" w:line="180" w:lineRule="exact"/>
              <w:rPr>
                <w:sz w:val="20"/>
                <w:szCs w:val="20"/>
                <w:color w:val="auto"/>
              </w:rPr>
            </w:pPr>
            <w:r>
              <w:rPr>
                <w:rFonts w:ascii="Arial" w:cs="Arial" w:eastAsia="Arial" w:hAnsi="Arial"/>
                <w:sz w:val="16"/>
                <w:szCs w:val="16"/>
                <w:color w:val="auto"/>
              </w:rPr>
              <w:t>5.32</w:t>
            </w:r>
          </w:p>
        </w:tc>
      </w:tr>
    </w:tbl>
    <w:p>
      <w:pPr>
        <w:spacing w:after="0" w:line="34" w:lineRule="exact"/>
        <w:rPr>
          <w:sz w:val="20"/>
          <w:szCs w:val="20"/>
          <w:color w:val="auto"/>
        </w:rPr>
      </w:pPr>
    </w:p>
    <w:p>
      <w:pPr>
        <w:spacing w:after="0"/>
        <w:rPr>
          <w:sz w:val="20"/>
          <w:szCs w:val="20"/>
          <w:color w:val="auto"/>
        </w:rPr>
      </w:pPr>
      <w:r>
        <w:rPr>
          <w:rFonts w:ascii="Arial" w:cs="Arial" w:eastAsia="Arial" w:hAnsi="Arial"/>
          <w:sz w:val="16"/>
          <w:szCs w:val="16"/>
          <w:color w:val="auto"/>
        </w:rPr>
        <w:t>Note: A: Ipsilateral brain regions relative to the moving hand</w:t>
      </w:r>
    </w:p>
    <w:p>
      <w:pPr>
        <w:ind w:left="360"/>
        <w:spacing w:after="0" w:line="235" w:lineRule="auto"/>
        <w:rPr>
          <w:sz w:val="20"/>
          <w:szCs w:val="20"/>
          <w:color w:val="auto"/>
        </w:rPr>
      </w:pPr>
      <w:r>
        <w:rPr>
          <w:rFonts w:ascii="Arial" w:cs="Arial" w:eastAsia="Arial" w:hAnsi="Arial"/>
          <w:sz w:val="16"/>
          <w:szCs w:val="16"/>
          <w:color w:val="auto"/>
        </w:rPr>
        <w:t>b: Contralateral brain regions relative to the moving hand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1053465</wp:posOffset>
            </wp:positionH>
            <wp:positionV relativeFrom="paragraph">
              <wp:posOffset>424815</wp:posOffset>
            </wp:positionV>
            <wp:extent cx="4140200" cy="591248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extLst>
                    </a:blip>
                    <a:srcRect/>
                    <a:stretch>
                      <a:fillRect/>
                    </a:stretch>
                  </pic:blipFill>
                  <pic:spPr bwMode="auto">
                    <a:xfrm>
                      <a:off x="0" y="0"/>
                      <a:ext cx="4140200" cy="591248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47" w:lineRule="exact"/>
        <w:rPr>
          <w:sz w:val="20"/>
          <w:szCs w:val="20"/>
          <w:color w:val="auto"/>
        </w:rPr>
      </w:pPr>
    </w:p>
    <w:p>
      <w:pPr>
        <w:jc w:val="both"/>
        <w:ind w:firstLine="239"/>
        <w:spacing w:after="0" w:line="269" w:lineRule="auto"/>
        <w:rPr>
          <w:rFonts w:ascii="Arial" w:cs="Arial" w:eastAsia="Arial" w:hAnsi="Arial"/>
          <w:sz w:val="23"/>
          <w:szCs w:val="23"/>
          <w:color w:val="000080"/>
        </w:rPr>
      </w:pPr>
      <w:hyperlink w:anchor="page7">
        <w:r>
          <w:rPr>
            <w:rFonts w:ascii="Arial" w:cs="Arial" w:eastAsia="Arial" w:hAnsi="Arial"/>
            <w:sz w:val="23"/>
            <w:szCs w:val="23"/>
            <w:color w:val="000080"/>
          </w:rPr>
          <w:t xml:space="preserve">Figure 3 </w:t>
        </w:r>
      </w:hyperlink>
      <w:r>
        <w:rPr>
          <w:rFonts w:ascii="Arial" w:cs="Arial" w:eastAsia="Arial" w:hAnsi="Arial"/>
          <w:sz w:val="23"/>
          <w:szCs w:val="23"/>
          <w:color w:val="000000"/>
        </w:rPr>
        <w:t>shows</w:t>
      </w:r>
      <w:r>
        <w:rPr>
          <w:rFonts w:ascii="Arial" w:cs="Arial" w:eastAsia="Arial" w:hAnsi="Arial"/>
          <w:sz w:val="23"/>
          <w:szCs w:val="23"/>
          <w:color w:val="000080"/>
        </w:rPr>
        <w:t xml:space="preserve"> </w:t>
      </w:r>
      <w:r>
        <w:rPr>
          <w:rFonts w:ascii="Arial" w:cs="Arial" w:eastAsia="Arial" w:hAnsi="Arial"/>
          <w:sz w:val="23"/>
          <w:szCs w:val="23"/>
          <w:color w:val="000000"/>
        </w:rPr>
        <w:t>the global motor cortex activa-tion map of the healthy control (HC) group. 3A: The right primary sensory-motor cortex (S1M1) was activated during the right-hand grip task. 3B: The left S1M1 was activated during the left -hand grip task.</w:t>
      </w:r>
    </w:p>
    <w:p>
      <w:pPr>
        <w:spacing w:after="0" w:line="200" w:lineRule="exact"/>
        <w:rPr>
          <w:sz w:val="20"/>
          <w:szCs w:val="20"/>
          <w:color w:val="auto"/>
        </w:rPr>
      </w:pPr>
    </w:p>
    <w:p>
      <w:pPr>
        <w:sectPr>
          <w:pgSz w:w="11880" w:h="15840" w:orient="portrait"/>
          <w:cols w:equalWidth="0" w:num="2">
            <w:col w:w="4740" w:space="360"/>
            <w:col w:w="4740"/>
          </w:cols>
          <w:pgMar w:left="1020" w:top="472" w:right="1019" w:bottom="352"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Arial" w:cs="Arial" w:eastAsia="Arial" w:hAnsi="Arial"/>
          <w:sz w:val="17"/>
          <w:szCs w:val="17"/>
          <w:b w:val="1"/>
          <w:bCs w:val="1"/>
          <w:color w:val="10147E"/>
        </w:rPr>
        <w:t xml:space="preserve">Figure 3. </w:t>
      </w:r>
      <w:r>
        <w:rPr>
          <w:rFonts w:ascii="Arial" w:cs="Arial" w:eastAsia="Arial" w:hAnsi="Arial"/>
          <w:sz w:val="17"/>
          <w:szCs w:val="17"/>
          <w:color w:val="000000"/>
        </w:rPr>
        <w:t>The global motor cortex activation map of the healthy control (HC) group.</w:t>
      </w:r>
    </w:p>
    <w:p>
      <w:pPr>
        <w:sectPr>
          <w:pgSz w:w="11880" w:h="15840" w:orient="portrait"/>
          <w:cols w:equalWidth="0" w:num="1">
            <w:col w:w="9840"/>
          </w:cols>
          <w:pgMar w:left="1020" w:top="472" w:right="1019" w:bottom="352" w:gutter="0" w:footer="0" w:header="0"/>
          <w:type w:val="continuous"/>
        </w:sectPr>
      </w:pPr>
    </w:p>
    <w:bookmarkStart w:id="7" w:name="page8"/>
    <w:bookmarkEnd w:id="7"/>
    <w:p>
      <w:pPr>
        <w:spacing w:after="0" w:line="200" w:lineRule="exact"/>
        <w:rPr>
          <w:sz w:val="20"/>
          <w:szCs w:val="20"/>
          <w:color w:val="auto"/>
        </w:rPr>
      </w:pPr>
    </w:p>
    <w:p>
      <w:pPr>
        <w:spacing w:after="0" w:line="268" w:lineRule="exact"/>
        <w:rPr>
          <w:sz w:val="20"/>
          <w:szCs w:val="20"/>
          <w:color w:val="auto"/>
        </w:rPr>
      </w:pPr>
    </w:p>
    <w:p>
      <w:pPr>
        <w:jc w:val="both"/>
        <w:ind w:firstLine="239"/>
        <w:spacing w:after="0" w:line="272" w:lineRule="auto"/>
        <w:rPr>
          <w:rFonts w:ascii="Arial" w:cs="Arial" w:eastAsia="Arial" w:hAnsi="Arial"/>
          <w:sz w:val="22"/>
          <w:szCs w:val="22"/>
          <w:color w:val="000080"/>
        </w:rPr>
      </w:pPr>
      <w:hyperlink w:anchor="page7">
        <w:r>
          <w:rPr>
            <w:rFonts w:ascii="Arial" w:cs="Arial" w:eastAsia="Arial" w:hAnsi="Arial"/>
            <w:sz w:val="22"/>
            <w:szCs w:val="22"/>
            <w:color w:val="000080"/>
          </w:rPr>
          <w:t xml:space="preserve">Table 5 </w:t>
        </w:r>
      </w:hyperlink>
      <w:r>
        <w:rPr>
          <w:rFonts w:ascii="Arial" w:cs="Arial" w:eastAsia="Arial" w:hAnsi="Arial"/>
          <w:sz w:val="22"/>
          <w:szCs w:val="22"/>
          <w:color w:val="000000"/>
        </w:rPr>
        <w:t>shows</w:t>
      </w:r>
      <w:r>
        <w:rPr>
          <w:rFonts w:ascii="Arial" w:cs="Arial" w:eastAsia="Arial" w:hAnsi="Arial"/>
          <w:sz w:val="22"/>
          <w:szCs w:val="22"/>
          <w:color w:val="000080"/>
        </w:rPr>
        <w:t xml:space="preserve"> </w:t>
      </w:r>
      <w:r>
        <w:rPr>
          <w:rFonts w:ascii="Arial" w:cs="Arial" w:eastAsia="Arial" w:hAnsi="Arial"/>
          <w:sz w:val="22"/>
          <w:szCs w:val="22"/>
          <w:color w:val="000000"/>
        </w:rPr>
        <w:t>the statistical information of the</w:t>
      </w:r>
      <w:r>
        <w:rPr>
          <w:rFonts w:ascii="Arial" w:cs="Arial" w:eastAsia="Arial" w:hAnsi="Arial"/>
          <w:sz w:val="22"/>
          <w:szCs w:val="22"/>
          <w:color w:val="000080"/>
        </w:rPr>
        <w:t xml:space="preserve"> </w:t>
      </w:r>
      <w:r>
        <w:rPr>
          <w:rFonts w:ascii="Arial" w:cs="Arial" w:eastAsia="Arial" w:hAnsi="Arial"/>
          <w:sz w:val="22"/>
          <w:szCs w:val="22"/>
          <w:color w:val="000000"/>
        </w:rPr>
        <w:t xml:space="preserve">HC group, as analyzed by a </w:t>
      </w:r>
      <w:r>
        <w:rPr>
          <w:rFonts w:ascii="Arial" w:cs="Arial" w:eastAsia="Arial" w:hAnsi="Arial"/>
          <w:sz w:val="22"/>
          <w:szCs w:val="22"/>
          <w:i w:val="1"/>
          <w:iCs w:val="1"/>
          <w:color w:val="000000"/>
        </w:rPr>
        <w:t>t</w:t>
      </w:r>
      <w:r>
        <w:rPr>
          <w:rFonts w:ascii="Arial" w:cs="Arial" w:eastAsia="Arial" w:hAnsi="Arial"/>
          <w:sz w:val="22"/>
          <w:szCs w:val="22"/>
          <w:color w:val="000000"/>
        </w:rPr>
        <w:t xml:space="preserve"> test with xjview processing software, and the coordinates of the most highly activated voxel (MiNi coordinates) and activation intensities (T scores) are listed by activated areas (</w:t>
      </w:r>
      <w:r>
        <w:rPr>
          <w:rFonts w:ascii="Arial" w:cs="Arial" w:eastAsia="Arial" w:hAnsi="Arial"/>
          <w:sz w:val="22"/>
          <w:szCs w:val="22"/>
          <w:i w:val="1"/>
          <w:iCs w:val="1"/>
          <w:color w:val="000000"/>
        </w:rPr>
        <w:t>p</w:t>
      </w:r>
      <w:r>
        <w:rPr>
          <w:rFonts w:ascii="Arial" w:cs="Arial" w:eastAsia="Arial" w:hAnsi="Arial"/>
          <w:sz w:val="22"/>
          <w:szCs w:val="22"/>
          <w:color w:val="000000"/>
        </w:rPr>
        <w:t xml:space="preserve"> &lt; .05, FWR; Ke ≥ 10).</w:t>
      </w: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3.2 Left hemisphere stroke group (group A)</w:t>
      </w:r>
    </w:p>
    <w:p>
      <w:pPr>
        <w:spacing w:after="0" w:line="174" w:lineRule="exact"/>
        <w:rPr>
          <w:sz w:val="20"/>
          <w:szCs w:val="20"/>
          <w:color w:val="auto"/>
        </w:rPr>
      </w:pPr>
    </w:p>
    <w:p>
      <w:pPr>
        <w:jc w:val="both"/>
        <w:spacing w:after="0" w:line="288" w:lineRule="auto"/>
        <w:rPr>
          <w:sz w:val="20"/>
          <w:szCs w:val="20"/>
          <w:color w:val="auto"/>
        </w:rPr>
      </w:pPr>
      <w:r>
        <w:rPr>
          <w:rFonts w:ascii="Arial" w:cs="Arial" w:eastAsia="Arial" w:hAnsi="Arial"/>
          <w:sz w:val="21"/>
          <w:szCs w:val="21"/>
          <w:color w:val="auto"/>
        </w:rPr>
        <w:t>During the entire three-month observation period, clenching the right hand (paretic hand) movement produced activation in the expected sensorimotor network. During the first session, the motor task activated the bilateral S1M1 and right premotor cortex (PMC) areas, and the total activation area</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1800" w:type="dxa"/>
        <w:tblCellMar>
          <w:top w:w="0" w:type="dxa"/>
          <w:left w:w="0" w:type="dxa"/>
          <w:bottom w:w="0" w:type="dxa"/>
          <w:right w:w="0" w:type="dxa"/>
        </w:tblCellMar>
      </w:tblPr>
      <w:tr>
        <w:trPr>
          <w:trHeight w:val="178"/>
        </w:trPr>
        <w:tc>
          <w:tcPr>
            <w:tcW w:w="2600" w:type="dxa"/>
            <w:vAlign w:val="bottom"/>
          </w:tcPr>
          <w:p>
            <w:pPr>
              <w:spacing w:after="0"/>
              <w:rPr>
                <w:sz w:val="20"/>
                <w:szCs w:val="20"/>
                <w:color w:val="auto"/>
              </w:rPr>
            </w:pPr>
            <w:r>
              <w:rPr>
                <w:rFonts w:ascii="Arial" w:cs="Arial" w:eastAsia="Arial" w:hAnsi="Arial"/>
                <w:sz w:val="15"/>
                <w:szCs w:val="15"/>
                <w:color w:val="auto"/>
                <w:w w:val="96"/>
              </w:rPr>
              <w:t>TOPICS IN STROKE REHABILITATION</w:t>
            </w:r>
          </w:p>
        </w:tc>
        <w:tc>
          <w:tcPr>
            <w:tcW w:w="340" w:type="dxa"/>
            <w:vAlign w:val="bottom"/>
          </w:tcPr>
          <w:p>
            <w:pPr>
              <w:jc w:val="right"/>
              <w:spacing w:after="0"/>
              <w:rPr>
                <w:sz w:val="20"/>
                <w:szCs w:val="20"/>
                <w:color w:val="auto"/>
              </w:rPr>
            </w:pPr>
            <w:r>
              <w:rPr>
                <w:rFonts w:ascii="Arial" w:cs="Arial" w:eastAsia="Arial" w:hAnsi="Arial"/>
                <w:sz w:val="15"/>
                <w:szCs w:val="15"/>
                <w:color w:val="auto"/>
              </w:rPr>
              <w:t>7</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2722245</wp:posOffset>
            </wp:positionH>
            <wp:positionV relativeFrom="paragraph">
              <wp:posOffset>-123190</wp:posOffset>
            </wp:positionV>
            <wp:extent cx="139700" cy="13970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a:extLst>
                        <a:ext uri="{28A0092B-C50C-407E-A947-70E740481C1C}"/>
                      </a:extLst>
                    </a:blip>
                    <a:srcRect/>
                    <a:stretch>
                      <a:fillRect/>
                    </a:stretch>
                  </pic:blipFill>
                  <pic:spPr bwMode="auto">
                    <a:xfrm>
                      <a:off x="0" y="0"/>
                      <a:ext cx="139700" cy="139700"/>
                    </a:xfrm>
                    <a:prstGeom prst="rect">
                      <a:avLst/>
                    </a:prstGeom>
                    <a:noFill/>
                  </pic:spPr>
                </pic:pic>
              </a:graphicData>
            </a:graphic>
          </wp:anchor>
        </w:drawing>
      </w:r>
    </w:p>
    <w:p>
      <w:pPr>
        <w:spacing w:after="0" w:line="270" w:lineRule="exact"/>
        <w:rPr>
          <w:sz w:val="20"/>
          <w:szCs w:val="20"/>
          <w:color w:val="auto"/>
        </w:rPr>
      </w:pPr>
    </w:p>
    <w:p>
      <w:pPr>
        <w:jc w:val="both"/>
        <w:spacing w:after="0" w:line="284" w:lineRule="auto"/>
        <w:rPr>
          <w:rFonts w:ascii="Arial" w:cs="Arial" w:eastAsia="Arial" w:hAnsi="Arial"/>
          <w:sz w:val="21"/>
          <w:szCs w:val="21"/>
          <w:color w:val="auto"/>
        </w:rPr>
      </w:pPr>
      <w:r>
        <w:rPr>
          <w:rFonts w:ascii="Arial" w:cs="Arial" w:eastAsia="Arial" w:hAnsi="Arial"/>
          <w:sz w:val="21"/>
          <w:szCs w:val="21"/>
          <w:color w:val="auto"/>
        </w:rPr>
        <w:t>included 197.00 ± 13.06 voxels in the left hemi-sphere motor cortex and 124.17 ± 14.40 voxels in the right hemisphere motor cortex. During session 2, paretic hand movements activated the bilateral S1M1, right supplementary motor area (SMA), and left PMC, and the total activation area included 152.00 ± 14.84 voxels in the left hemisphere motor cortex and 68.67 ± 13.23 voxels in the right hemisphere motor cortex. During session 3, paretic hand movements activated only the left S1M1 and the total activation area included 101.17 ± 15.45 voxels (</w:t>
      </w:r>
      <w:hyperlink w:anchor="page8">
        <w:r>
          <w:rPr>
            <w:rFonts w:ascii="Arial" w:cs="Arial" w:eastAsia="Arial" w:hAnsi="Arial"/>
            <w:sz w:val="21"/>
            <w:szCs w:val="21"/>
            <w:color w:val="000080"/>
          </w:rPr>
          <w:t>Table 6</w:t>
        </w:r>
        <w:r>
          <w:rPr>
            <w:rFonts w:ascii="Arial" w:cs="Arial" w:eastAsia="Arial" w:hAnsi="Arial"/>
            <w:sz w:val="21"/>
            <w:szCs w:val="21"/>
            <w:color w:val="auto"/>
          </w:rPr>
          <w:t xml:space="preserve"> </w:t>
        </w:r>
      </w:hyperlink>
      <w:r>
        <w:rPr>
          <w:rFonts w:ascii="Arial" w:cs="Arial" w:eastAsia="Arial" w:hAnsi="Arial"/>
          <w:sz w:val="21"/>
          <w:szCs w:val="21"/>
          <w:color w:val="auto"/>
        </w:rPr>
        <w:t xml:space="preserve">and </w:t>
      </w:r>
      <w:hyperlink w:anchor="page8">
        <w:r>
          <w:rPr>
            <w:rFonts w:ascii="Arial" w:cs="Arial" w:eastAsia="Arial" w:hAnsi="Arial"/>
            <w:sz w:val="21"/>
            <w:szCs w:val="21"/>
            <w:color w:val="000080"/>
          </w:rPr>
          <w:t>Figure 4</w:t>
        </w:r>
      </w:hyperlink>
      <w:r>
        <w:rPr>
          <w:rFonts w:ascii="Arial" w:cs="Arial" w:eastAsia="Arial" w:hAnsi="Arial"/>
          <w:sz w:val="21"/>
          <w:szCs w:val="21"/>
          <w:color w:val="auto"/>
        </w:rPr>
        <w:t>).</w:t>
      </w:r>
    </w:p>
    <w:p>
      <w:pPr>
        <w:spacing w:after="0" w:line="4" w:lineRule="exact"/>
        <w:rPr>
          <w:sz w:val="20"/>
          <w:szCs w:val="20"/>
          <w:color w:val="auto"/>
        </w:rPr>
      </w:pPr>
    </w:p>
    <w:p>
      <w:pPr>
        <w:jc w:val="both"/>
        <w:ind w:firstLine="239"/>
        <w:spacing w:after="0" w:line="297" w:lineRule="auto"/>
        <w:rPr>
          <w:rFonts w:ascii="Arial" w:cs="Arial" w:eastAsia="Arial" w:hAnsi="Arial"/>
          <w:sz w:val="21"/>
          <w:szCs w:val="21"/>
          <w:color w:val="000080"/>
        </w:rPr>
      </w:pPr>
      <w:hyperlink w:anchor="page8">
        <w:r>
          <w:rPr>
            <w:rFonts w:ascii="Arial" w:cs="Arial" w:eastAsia="Arial" w:hAnsi="Arial"/>
            <w:sz w:val="21"/>
            <w:szCs w:val="21"/>
            <w:color w:val="000080"/>
          </w:rPr>
          <w:t xml:space="preserve">Figure 4 </w:t>
        </w:r>
      </w:hyperlink>
      <w:r>
        <w:rPr>
          <w:rFonts w:ascii="Arial" w:cs="Arial" w:eastAsia="Arial" w:hAnsi="Arial"/>
          <w:sz w:val="21"/>
          <w:szCs w:val="21"/>
          <w:color w:val="000000"/>
        </w:rPr>
        <w:t>shows</w:t>
      </w:r>
      <w:r>
        <w:rPr>
          <w:rFonts w:ascii="Arial" w:cs="Arial" w:eastAsia="Arial" w:hAnsi="Arial"/>
          <w:sz w:val="21"/>
          <w:szCs w:val="21"/>
          <w:color w:val="000080"/>
        </w:rPr>
        <w:t xml:space="preserve"> </w:t>
      </w:r>
      <w:r>
        <w:rPr>
          <w:rFonts w:ascii="Arial" w:cs="Arial" w:eastAsia="Arial" w:hAnsi="Arial"/>
          <w:sz w:val="21"/>
          <w:szCs w:val="21"/>
          <w:color w:val="000000"/>
        </w:rPr>
        <w:t>the dynamic global motor cortex</w:t>
      </w:r>
      <w:r>
        <w:rPr>
          <w:rFonts w:ascii="Arial" w:cs="Arial" w:eastAsia="Arial" w:hAnsi="Arial"/>
          <w:sz w:val="21"/>
          <w:szCs w:val="21"/>
          <w:color w:val="000080"/>
        </w:rPr>
        <w:t xml:space="preserve"> </w:t>
      </w:r>
      <w:r>
        <w:rPr>
          <w:rFonts w:ascii="Arial" w:cs="Arial" w:eastAsia="Arial" w:hAnsi="Arial"/>
          <w:sz w:val="21"/>
          <w:szCs w:val="21"/>
          <w:color w:val="000000"/>
        </w:rPr>
        <w:t>activation map with right-hand (paretic hand) movements in the left hemisphere stroke group.</w:t>
      </w:r>
    </w:p>
    <w:p>
      <w:pPr>
        <w:spacing w:after="0" w:line="200" w:lineRule="exact"/>
        <w:rPr>
          <w:sz w:val="20"/>
          <w:szCs w:val="20"/>
          <w:color w:val="auto"/>
        </w:rPr>
      </w:pPr>
    </w:p>
    <w:p>
      <w:pPr>
        <w:sectPr>
          <w:pgSz w:w="11880" w:h="15840" w:orient="portrait"/>
          <w:cols w:equalWidth="0" w:num="2">
            <w:col w:w="4740" w:space="360"/>
            <w:col w:w="4740"/>
          </w:cols>
          <w:pgMar w:left="1020" w:top="520" w:right="1019" w:bottom="584" w:gutter="0" w:footer="0" w:header="0"/>
        </w:sectPr>
      </w:pPr>
    </w:p>
    <w:p>
      <w:pPr>
        <w:spacing w:after="0" w:line="106" w:lineRule="exact"/>
        <w:rPr>
          <w:sz w:val="20"/>
          <w:szCs w:val="20"/>
          <w:color w:val="auto"/>
        </w:rPr>
      </w:pPr>
    </w:p>
    <w:p>
      <w:pPr>
        <w:spacing w:after="0" w:line="237" w:lineRule="auto"/>
        <w:rPr>
          <w:sz w:val="20"/>
          <w:szCs w:val="20"/>
          <w:color w:val="auto"/>
        </w:rPr>
      </w:pPr>
      <w:r>
        <w:rPr>
          <w:rFonts w:ascii="Arial" w:cs="Arial" w:eastAsia="Arial" w:hAnsi="Arial"/>
          <w:sz w:val="19"/>
          <w:szCs w:val="19"/>
          <w:b w:val="1"/>
          <w:bCs w:val="1"/>
          <w:color w:val="10147E"/>
        </w:rPr>
        <w:t xml:space="preserve">Table 6. </w:t>
      </w:r>
      <w:r>
        <w:rPr>
          <w:rFonts w:ascii="Arial" w:cs="Arial" w:eastAsia="Arial" w:hAnsi="Arial"/>
          <w:sz w:val="19"/>
          <w:szCs w:val="19"/>
          <w:color w:val="000000"/>
        </w:rPr>
        <w:t>MINI coordinates and T scores of the activated areas during right-hand (paretic) movements in the left hemisphere stroke</w:t>
      </w:r>
      <w:r>
        <w:rPr>
          <w:rFonts w:ascii="Arial" w:cs="Arial" w:eastAsia="Arial" w:hAnsi="Arial"/>
          <w:sz w:val="19"/>
          <w:szCs w:val="19"/>
          <w:b w:val="1"/>
          <w:bCs w:val="1"/>
          <w:color w:val="10147E"/>
        </w:rPr>
        <w:t xml:space="preserve"> </w:t>
      </w:r>
      <w:r>
        <w:rPr>
          <w:rFonts w:ascii="Arial" w:cs="Arial" w:eastAsia="Arial" w:hAnsi="Arial"/>
          <w:sz w:val="19"/>
          <w:szCs w:val="19"/>
          <w:color w:val="000000"/>
        </w:rPr>
        <w:t>group in different periods.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12700</wp:posOffset>
                </wp:positionV>
                <wp:extent cx="6248400"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48400" cy="4763"/>
                        </a:xfrm>
                        <a:prstGeom prst="line">
                          <a:avLst/>
                        </a:prstGeom>
                        <a:solidFill>
                          <a:srgbClr val="FFFFFF"/>
                        </a:solidFill>
                        <a:ln w="6350">
                          <a:solidFill>
                            <a:srgbClr val="10147E"/>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pt" to="492pt,1pt" o:allowincell="f" strokecolor="#10147E" strokeweight="0.5pt"/>
            </w:pict>
          </mc:Fallback>
        </mc:AlternateContent>
      </w:r>
    </w:p>
    <w:p>
      <w:pPr>
        <w:spacing w:after="0" w:line="38"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940" w:type="dxa"/>
            <w:vAlign w:val="bottom"/>
          </w:tcPr>
          <w:p>
            <w:pPr>
              <w:spacing w:after="0"/>
              <w:rPr>
                <w:sz w:val="16"/>
                <w:szCs w:val="16"/>
                <w:color w:val="auto"/>
              </w:rPr>
            </w:pPr>
          </w:p>
        </w:tc>
        <w:tc>
          <w:tcPr>
            <w:tcW w:w="2080" w:type="dxa"/>
            <w:vAlign w:val="bottom"/>
          </w:tcPr>
          <w:p>
            <w:pPr>
              <w:ind w:left="1140"/>
              <w:spacing w:after="0"/>
              <w:rPr>
                <w:sz w:val="20"/>
                <w:szCs w:val="20"/>
                <w:color w:val="auto"/>
              </w:rPr>
            </w:pPr>
            <w:r>
              <w:rPr>
                <w:rFonts w:ascii="Arial" w:cs="Arial" w:eastAsia="Arial" w:hAnsi="Arial"/>
                <w:sz w:val="16"/>
                <w:szCs w:val="16"/>
                <w:color w:val="auto"/>
                <w:w w:val="92"/>
              </w:rPr>
              <w:t>T1(Session 1)</w:t>
            </w:r>
          </w:p>
        </w:tc>
        <w:tc>
          <w:tcPr>
            <w:tcW w:w="1020" w:type="dxa"/>
            <w:vAlign w:val="bottom"/>
          </w:tcPr>
          <w:p>
            <w:pPr>
              <w:spacing w:after="0"/>
              <w:rPr>
                <w:sz w:val="16"/>
                <w:szCs w:val="16"/>
                <w:color w:val="auto"/>
              </w:rPr>
            </w:pPr>
          </w:p>
        </w:tc>
        <w:tc>
          <w:tcPr>
            <w:tcW w:w="2060" w:type="dxa"/>
            <w:vAlign w:val="bottom"/>
          </w:tcPr>
          <w:p>
            <w:pPr>
              <w:ind w:left="1140"/>
              <w:spacing w:after="0"/>
              <w:rPr>
                <w:sz w:val="20"/>
                <w:szCs w:val="20"/>
                <w:color w:val="auto"/>
              </w:rPr>
            </w:pPr>
            <w:r>
              <w:rPr>
                <w:rFonts w:ascii="Arial" w:cs="Arial" w:eastAsia="Arial" w:hAnsi="Arial"/>
                <w:sz w:val="16"/>
                <w:szCs w:val="16"/>
                <w:color w:val="auto"/>
                <w:w w:val="90"/>
              </w:rPr>
              <w:t>T2(Session 2)</w:t>
            </w:r>
          </w:p>
        </w:tc>
        <w:tc>
          <w:tcPr>
            <w:tcW w:w="1020" w:type="dxa"/>
            <w:vAlign w:val="bottom"/>
          </w:tcPr>
          <w:p>
            <w:pPr>
              <w:spacing w:after="0"/>
              <w:rPr>
                <w:sz w:val="16"/>
                <w:szCs w:val="16"/>
                <w:color w:val="auto"/>
              </w:rPr>
            </w:pPr>
          </w:p>
        </w:tc>
        <w:tc>
          <w:tcPr>
            <w:tcW w:w="2080" w:type="dxa"/>
            <w:vAlign w:val="bottom"/>
          </w:tcPr>
          <w:p>
            <w:pPr>
              <w:ind w:left="1140"/>
              <w:spacing w:after="0"/>
              <w:rPr>
                <w:sz w:val="20"/>
                <w:szCs w:val="20"/>
                <w:color w:val="auto"/>
              </w:rPr>
            </w:pPr>
            <w:r>
              <w:rPr>
                <w:rFonts w:ascii="Arial" w:cs="Arial" w:eastAsia="Arial" w:hAnsi="Arial"/>
                <w:sz w:val="16"/>
                <w:szCs w:val="16"/>
                <w:color w:val="auto"/>
                <w:w w:val="92"/>
              </w:rPr>
              <w:t>T3(Session 3)</w:t>
            </w:r>
          </w:p>
        </w:tc>
        <w:tc>
          <w:tcPr>
            <w:tcW w:w="640" w:type="dxa"/>
            <w:vAlign w:val="bottom"/>
          </w:tcPr>
          <w:p>
            <w:pPr>
              <w:spacing w:after="0"/>
              <w:rPr>
                <w:sz w:val="16"/>
                <w:szCs w:val="16"/>
                <w:color w:val="auto"/>
              </w:rPr>
            </w:pPr>
          </w:p>
        </w:tc>
      </w:tr>
      <w:tr>
        <w:trPr>
          <w:trHeight w:val="21"/>
        </w:trPr>
        <w:tc>
          <w:tcPr>
            <w:tcW w:w="940" w:type="dxa"/>
            <w:vAlign w:val="bottom"/>
            <w:tcBorders>
              <w:bottom w:val="single" w:sz="8" w:color="10147E"/>
            </w:tcBorders>
          </w:tcPr>
          <w:p>
            <w:pPr>
              <w:spacing w:after="0" w:line="20" w:lineRule="exact"/>
              <w:rPr>
                <w:sz w:val="1"/>
                <w:szCs w:val="1"/>
                <w:color w:val="auto"/>
              </w:rPr>
            </w:pPr>
          </w:p>
        </w:tc>
        <w:tc>
          <w:tcPr>
            <w:tcW w:w="2080" w:type="dxa"/>
            <w:vAlign w:val="bottom"/>
            <w:tcBorders>
              <w:bottom w:val="single" w:sz="8" w:color="10147E"/>
            </w:tcBorders>
          </w:tcPr>
          <w:p>
            <w:pPr>
              <w:spacing w:after="0" w:line="20" w:lineRule="exact"/>
              <w:rPr>
                <w:sz w:val="1"/>
                <w:szCs w:val="1"/>
                <w:color w:val="auto"/>
              </w:rPr>
            </w:pPr>
          </w:p>
        </w:tc>
        <w:tc>
          <w:tcPr>
            <w:tcW w:w="1020" w:type="dxa"/>
            <w:vAlign w:val="bottom"/>
            <w:tcBorders>
              <w:bottom w:val="single" w:sz="8" w:color="10147E"/>
            </w:tcBorders>
          </w:tcPr>
          <w:p>
            <w:pPr>
              <w:spacing w:after="0" w:line="20" w:lineRule="exact"/>
              <w:rPr>
                <w:sz w:val="1"/>
                <w:szCs w:val="1"/>
                <w:color w:val="auto"/>
              </w:rPr>
            </w:pPr>
          </w:p>
        </w:tc>
        <w:tc>
          <w:tcPr>
            <w:tcW w:w="2060" w:type="dxa"/>
            <w:vAlign w:val="bottom"/>
            <w:tcBorders>
              <w:bottom w:val="single" w:sz="8" w:color="10147E"/>
            </w:tcBorders>
          </w:tcPr>
          <w:p>
            <w:pPr>
              <w:spacing w:after="0" w:line="20" w:lineRule="exact"/>
              <w:rPr>
                <w:sz w:val="1"/>
                <w:szCs w:val="1"/>
                <w:color w:val="auto"/>
              </w:rPr>
            </w:pPr>
          </w:p>
        </w:tc>
        <w:tc>
          <w:tcPr>
            <w:tcW w:w="1020" w:type="dxa"/>
            <w:vAlign w:val="bottom"/>
            <w:tcBorders>
              <w:bottom w:val="single" w:sz="8" w:color="10147E"/>
            </w:tcBorders>
          </w:tcPr>
          <w:p>
            <w:pPr>
              <w:spacing w:after="0" w:line="20" w:lineRule="exact"/>
              <w:rPr>
                <w:sz w:val="1"/>
                <w:szCs w:val="1"/>
                <w:color w:val="auto"/>
              </w:rPr>
            </w:pPr>
          </w:p>
        </w:tc>
        <w:tc>
          <w:tcPr>
            <w:tcW w:w="2080" w:type="dxa"/>
            <w:vAlign w:val="bottom"/>
            <w:tcBorders>
              <w:bottom w:val="single" w:sz="8" w:color="10147E"/>
            </w:tcBorders>
          </w:tcPr>
          <w:p>
            <w:pPr>
              <w:spacing w:after="0" w:line="20" w:lineRule="exact"/>
              <w:rPr>
                <w:sz w:val="1"/>
                <w:szCs w:val="1"/>
                <w:color w:val="auto"/>
              </w:rPr>
            </w:pPr>
          </w:p>
        </w:tc>
        <w:tc>
          <w:tcPr>
            <w:tcW w:w="640" w:type="dxa"/>
            <w:vAlign w:val="bottom"/>
            <w:tcBorders>
              <w:bottom w:val="single" w:sz="8" w:color="10147E"/>
            </w:tcBorders>
          </w:tcPr>
          <w:p>
            <w:pPr>
              <w:spacing w:after="0" w:line="20" w:lineRule="exact"/>
              <w:rPr>
                <w:sz w:val="1"/>
                <w:szCs w:val="1"/>
                <w:color w:val="auto"/>
              </w:rPr>
            </w:pPr>
          </w:p>
        </w:tc>
      </w:tr>
      <w:tr>
        <w:trPr>
          <w:trHeight w:val="285"/>
        </w:trPr>
        <w:tc>
          <w:tcPr>
            <w:tcW w:w="940" w:type="dxa"/>
            <w:vAlign w:val="bottom"/>
          </w:tcPr>
          <w:p>
            <w:pPr>
              <w:spacing w:after="0"/>
              <w:rPr>
                <w:sz w:val="24"/>
                <w:szCs w:val="24"/>
                <w:color w:val="auto"/>
              </w:rPr>
            </w:pPr>
          </w:p>
        </w:tc>
        <w:tc>
          <w:tcPr>
            <w:tcW w:w="2080" w:type="dxa"/>
            <w:vAlign w:val="bottom"/>
          </w:tcPr>
          <w:p>
            <w:pPr>
              <w:ind w:left="680"/>
              <w:spacing w:after="0"/>
              <w:rPr>
                <w:sz w:val="20"/>
                <w:szCs w:val="20"/>
                <w:color w:val="auto"/>
              </w:rPr>
            </w:pPr>
            <w:r>
              <w:rPr>
                <w:rFonts w:ascii="Arial" w:cs="Arial" w:eastAsia="Arial" w:hAnsi="Arial"/>
                <w:sz w:val="16"/>
                <w:szCs w:val="16"/>
                <w:color w:val="auto"/>
              </w:rPr>
              <w:t>x, y, z</w:t>
            </w:r>
          </w:p>
        </w:tc>
        <w:tc>
          <w:tcPr>
            <w:tcW w:w="1020" w:type="dxa"/>
            <w:vAlign w:val="bottom"/>
          </w:tcPr>
          <w:p>
            <w:pPr>
              <w:jc w:val="center"/>
              <w:ind w:right="280"/>
              <w:spacing w:after="0"/>
              <w:rPr>
                <w:sz w:val="20"/>
                <w:szCs w:val="20"/>
                <w:color w:val="auto"/>
              </w:rPr>
            </w:pPr>
            <w:r>
              <w:rPr>
                <w:rFonts w:ascii="Arial" w:cs="Arial" w:eastAsia="Arial" w:hAnsi="Arial"/>
                <w:sz w:val="16"/>
                <w:szCs w:val="16"/>
                <w:color w:val="auto"/>
                <w:w w:val="87"/>
              </w:rPr>
              <w:t>T value</w:t>
            </w:r>
          </w:p>
        </w:tc>
        <w:tc>
          <w:tcPr>
            <w:tcW w:w="2060" w:type="dxa"/>
            <w:vAlign w:val="bottom"/>
          </w:tcPr>
          <w:p>
            <w:pPr>
              <w:ind w:left="680"/>
              <w:spacing w:after="0"/>
              <w:rPr>
                <w:sz w:val="20"/>
                <w:szCs w:val="20"/>
                <w:color w:val="auto"/>
              </w:rPr>
            </w:pPr>
            <w:r>
              <w:rPr>
                <w:rFonts w:ascii="Arial" w:cs="Arial" w:eastAsia="Arial" w:hAnsi="Arial"/>
                <w:sz w:val="16"/>
                <w:szCs w:val="16"/>
                <w:color w:val="auto"/>
              </w:rPr>
              <w:t>x, y, z</w:t>
            </w:r>
          </w:p>
        </w:tc>
        <w:tc>
          <w:tcPr>
            <w:tcW w:w="1020" w:type="dxa"/>
            <w:vAlign w:val="bottom"/>
          </w:tcPr>
          <w:p>
            <w:pPr>
              <w:jc w:val="right"/>
              <w:ind w:right="380"/>
              <w:spacing w:after="0"/>
              <w:rPr>
                <w:sz w:val="20"/>
                <w:szCs w:val="20"/>
                <w:color w:val="auto"/>
              </w:rPr>
            </w:pPr>
            <w:r>
              <w:rPr>
                <w:rFonts w:ascii="Arial" w:cs="Arial" w:eastAsia="Arial" w:hAnsi="Arial"/>
                <w:sz w:val="16"/>
                <w:szCs w:val="16"/>
                <w:color w:val="auto"/>
              </w:rPr>
              <w:t>T value</w:t>
            </w:r>
          </w:p>
        </w:tc>
        <w:tc>
          <w:tcPr>
            <w:tcW w:w="2080" w:type="dxa"/>
            <w:vAlign w:val="bottom"/>
          </w:tcPr>
          <w:p>
            <w:pPr>
              <w:jc w:val="center"/>
              <w:ind w:right="260"/>
              <w:spacing w:after="0"/>
              <w:rPr>
                <w:sz w:val="20"/>
                <w:szCs w:val="20"/>
                <w:color w:val="auto"/>
              </w:rPr>
            </w:pPr>
            <w:r>
              <w:rPr>
                <w:rFonts w:ascii="Arial" w:cs="Arial" w:eastAsia="Arial" w:hAnsi="Arial"/>
                <w:sz w:val="16"/>
                <w:szCs w:val="16"/>
                <w:color w:val="auto"/>
                <w:w w:val="81"/>
              </w:rPr>
              <w:t>x, y, z</w:t>
            </w:r>
          </w:p>
        </w:tc>
        <w:tc>
          <w:tcPr>
            <w:tcW w:w="640" w:type="dxa"/>
            <w:vAlign w:val="bottom"/>
          </w:tcPr>
          <w:p>
            <w:pPr>
              <w:jc w:val="center"/>
              <w:spacing w:after="0"/>
              <w:rPr>
                <w:sz w:val="20"/>
                <w:szCs w:val="20"/>
                <w:color w:val="auto"/>
              </w:rPr>
            </w:pPr>
            <w:r>
              <w:rPr>
                <w:rFonts w:ascii="Arial" w:cs="Arial" w:eastAsia="Arial" w:hAnsi="Arial"/>
                <w:sz w:val="16"/>
                <w:szCs w:val="16"/>
                <w:color w:val="auto"/>
                <w:w w:val="83"/>
              </w:rPr>
              <w:t>T value</w:t>
            </w:r>
          </w:p>
        </w:tc>
      </w:tr>
      <w:tr>
        <w:trPr>
          <w:trHeight w:val="23"/>
        </w:trPr>
        <w:tc>
          <w:tcPr>
            <w:tcW w:w="940" w:type="dxa"/>
            <w:vAlign w:val="bottom"/>
            <w:tcBorders>
              <w:bottom w:val="single" w:sz="8" w:color="10147E"/>
            </w:tcBorders>
          </w:tcPr>
          <w:p>
            <w:pPr>
              <w:spacing w:after="0" w:line="20" w:lineRule="exact"/>
              <w:rPr>
                <w:sz w:val="1"/>
                <w:szCs w:val="1"/>
                <w:color w:val="auto"/>
              </w:rPr>
            </w:pPr>
          </w:p>
        </w:tc>
        <w:tc>
          <w:tcPr>
            <w:tcW w:w="2080" w:type="dxa"/>
            <w:vAlign w:val="bottom"/>
            <w:tcBorders>
              <w:bottom w:val="single" w:sz="8" w:color="10147E"/>
            </w:tcBorders>
          </w:tcPr>
          <w:p>
            <w:pPr>
              <w:spacing w:after="0" w:line="20" w:lineRule="exact"/>
              <w:rPr>
                <w:sz w:val="1"/>
                <w:szCs w:val="1"/>
                <w:color w:val="auto"/>
              </w:rPr>
            </w:pPr>
          </w:p>
        </w:tc>
        <w:tc>
          <w:tcPr>
            <w:tcW w:w="1020" w:type="dxa"/>
            <w:vAlign w:val="bottom"/>
            <w:tcBorders>
              <w:bottom w:val="single" w:sz="8" w:color="10147E"/>
            </w:tcBorders>
          </w:tcPr>
          <w:p>
            <w:pPr>
              <w:spacing w:after="0" w:line="20" w:lineRule="exact"/>
              <w:rPr>
                <w:sz w:val="1"/>
                <w:szCs w:val="1"/>
                <w:color w:val="auto"/>
              </w:rPr>
            </w:pPr>
          </w:p>
        </w:tc>
        <w:tc>
          <w:tcPr>
            <w:tcW w:w="2060" w:type="dxa"/>
            <w:vAlign w:val="bottom"/>
            <w:tcBorders>
              <w:bottom w:val="single" w:sz="8" w:color="10147E"/>
            </w:tcBorders>
          </w:tcPr>
          <w:p>
            <w:pPr>
              <w:spacing w:after="0" w:line="20" w:lineRule="exact"/>
              <w:rPr>
                <w:sz w:val="1"/>
                <w:szCs w:val="1"/>
                <w:color w:val="auto"/>
              </w:rPr>
            </w:pPr>
          </w:p>
        </w:tc>
        <w:tc>
          <w:tcPr>
            <w:tcW w:w="1020" w:type="dxa"/>
            <w:vAlign w:val="bottom"/>
            <w:tcBorders>
              <w:bottom w:val="single" w:sz="8" w:color="10147E"/>
            </w:tcBorders>
          </w:tcPr>
          <w:p>
            <w:pPr>
              <w:spacing w:after="0" w:line="20" w:lineRule="exact"/>
              <w:rPr>
                <w:sz w:val="1"/>
                <w:szCs w:val="1"/>
                <w:color w:val="auto"/>
              </w:rPr>
            </w:pPr>
          </w:p>
        </w:tc>
        <w:tc>
          <w:tcPr>
            <w:tcW w:w="2080" w:type="dxa"/>
            <w:vAlign w:val="bottom"/>
            <w:tcBorders>
              <w:bottom w:val="single" w:sz="8" w:color="10147E"/>
            </w:tcBorders>
          </w:tcPr>
          <w:p>
            <w:pPr>
              <w:spacing w:after="0" w:line="20" w:lineRule="exact"/>
              <w:rPr>
                <w:sz w:val="1"/>
                <w:szCs w:val="1"/>
                <w:color w:val="auto"/>
              </w:rPr>
            </w:pPr>
          </w:p>
        </w:tc>
        <w:tc>
          <w:tcPr>
            <w:tcW w:w="640" w:type="dxa"/>
            <w:vAlign w:val="bottom"/>
            <w:tcBorders>
              <w:bottom w:val="single" w:sz="8" w:color="10147E"/>
            </w:tcBorders>
          </w:tcPr>
          <w:p>
            <w:pPr>
              <w:spacing w:after="0" w:line="20" w:lineRule="exact"/>
              <w:rPr>
                <w:sz w:val="1"/>
                <w:szCs w:val="1"/>
                <w:color w:val="auto"/>
              </w:rPr>
            </w:pPr>
          </w:p>
        </w:tc>
      </w:tr>
      <w:tr>
        <w:trPr>
          <w:trHeight w:val="198"/>
        </w:trPr>
        <w:tc>
          <w:tcPr>
            <w:tcW w:w="940" w:type="dxa"/>
            <w:vAlign w:val="bottom"/>
          </w:tcPr>
          <w:p>
            <w:pPr>
              <w:ind w:left="80"/>
              <w:spacing w:after="0" w:line="198" w:lineRule="exact"/>
              <w:rPr>
                <w:sz w:val="20"/>
                <w:szCs w:val="20"/>
                <w:color w:val="auto"/>
              </w:rPr>
            </w:pPr>
            <w:r>
              <w:rPr>
                <w:rFonts w:ascii="Arial" w:cs="Arial" w:eastAsia="Arial" w:hAnsi="Arial"/>
                <w:sz w:val="16"/>
                <w:szCs w:val="16"/>
                <w:color w:val="auto"/>
              </w:rPr>
              <w:t>S1M1</w:t>
            </w:r>
            <w:r>
              <w:rPr>
                <w:rFonts w:ascii="Arial" w:cs="Arial" w:eastAsia="Arial" w:hAnsi="Arial"/>
                <w:sz w:val="21"/>
                <w:szCs w:val="21"/>
                <w:color w:val="auto"/>
                <w:vertAlign w:val="subscript"/>
              </w:rPr>
              <w:t>a</w:t>
            </w:r>
          </w:p>
        </w:tc>
        <w:tc>
          <w:tcPr>
            <w:tcW w:w="2080" w:type="dxa"/>
            <w:vAlign w:val="bottom"/>
          </w:tcPr>
          <w:p>
            <w:pPr>
              <w:jc w:val="center"/>
              <w:ind w:right="260"/>
              <w:spacing w:after="0"/>
              <w:rPr>
                <w:sz w:val="20"/>
                <w:szCs w:val="20"/>
                <w:color w:val="auto"/>
              </w:rPr>
            </w:pPr>
            <w:r>
              <w:rPr>
                <w:rFonts w:ascii="Arial" w:cs="Arial" w:eastAsia="Arial" w:hAnsi="Arial"/>
                <w:sz w:val="16"/>
                <w:szCs w:val="16"/>
                <w:color w:val="auto"/>
                <w:w w:val="86"/>
              </w:rPr>
              <w:t>12, −30, 81</w:t>
            </w:r>
          </w:p>
        </w:tc>
        <w:tc>
          <w:tcPr>
            <w:tcW w:w="1020" w:type="dxa"/>
            <w:vAlign w:val="bottom"/>
          </w:tcPr>
          <w:p>
            <w:pPr>
              <w:jc w:val="center"/>
              <w:ind w:right="280"/>
              <w:spacing w:after="0"/>
              <w:rPr>
                <w:sz w:val="20"/>
                <w:szCs w:val="20"/>
                <w:color w:val="auto"/>
              </w:rPr>
            </w:pPr>
            <w:r>
              <w:rPr>
                <w:rFonts w:ascii="Arial" w:cs="Arial" w:eastAsia="Arial" w:hAnsi="Arial"/>
                <w:sz w:val="16"/>
                <w:szCs w:val="16"/>
                <w:color w:val="auto"/>
                <w:w w:val="83"/>
              </w:rPr>
              <w:t>9.43</w:t>
            </w:r>
          </w:p>
        </w:tc>
        <w:tc>
          <w:tcPr>
            <w:tcW w:w="2060" w:type="dxa"/>
            <w:vAlign w:val="bottom"/>
          </w:tcPr>
          <w:p>
            <w:pPr>
              <w:jc w:val="center"/>
              <w:ind w:right="260"/>
              <w:spacing w:after="0"/>
              <w:rPr>
                <w:sz w:val="20"/>
                <w:szCs w:val="20"/>
                <w:color w:val="auto"/>
              </w:rPr>
            </w:pPr>
            <w:r>
              <w:rPr>
                <w:rFonts w:ascii="Arial" w:cs="Arial" w:eastAsia="Arial" w:hAnsi="Arial"/>
                <w:sz w:val="16"/>
                <w:szCs w:val="16"/>
                <w:color w:val="auto"/>
                <w:w w:val="89"/>
              </w:rPr>
              <w:t>24, −27, 78</w:t>
            </w:r>
          </w:p>
        </w:tc>
        <w:tc>
          <w:tcPr>
            <w:tcW w:w="1020" w:type="dxa"/>
            <w:vAlign w:val="bottom"/>
          </w:tcPr>
          <w:p>
            <w:pPr>
              <w:jc w:val="right"/>
              <w:ind w:right="420"/>
              <w:spacing w:after="0"/>
              <w:rPr>
                <w:sz w:val="20"/>
                <w:szCs w:val="20"/>
                <w:color w:val="auto"/>
              </w:rPr>
            </w:pPr>
            <w:r>
              <w:rPr>
                <w:rFonts w:ascii="Arial" w:cs="Arial" w:eastAsia="Arial" w:hAnsi="Arial"/>
                <w:sz w:val="16"/>
                <w:szCs w:val="16"/>
                <w:color w:val="auto"/>
              </w:rPr>
              <w:t>7.07</w:t>
            </w:r>
          </w:p>
        </w:tc>
        <w:tc>
          <w:tcPr>
            <w:tcW w:w="2080" w:type="dxa"/>
            <w:vAlign w:val="bottom"/>
          </w:tcPr>
          <w:p>
            <w:pPr>
              <w:spacing w:after="0"/>
              <w:rPr>
                <w:sz w:val="17"/>
                <w:szCs w:val="17"/>
                <w:color w:val="auto"/>
              </w:rPr>
            </w:pPr>
          </w:p>
        </w:tc>
        <w:tc>
          <w:tcPr>
            <w:tcW w:w="640" w:type="dxa"/>
            <w:vAlign w:val="bottom"/>
          </w:tcPr>
          <w:p>
            <w:pPr>
              <w:spacing w:after="0"/>
              <w:rPr>
                <w:sz w:val="17"/>
                <w:szCs w:val="17"/>
                <w:color w:val="auto"/>
              </w:rPr>
            </w:pPr>
          </w:p>
        </w:tc>
      </w:tr>
      <w:tr>
        <w:trPr>
          <w:trHeight w:val="180"/>
        </w:trPr>
        <w:tc>
          <w:tcPr>
            <w:tcW w:w="940" w:type="dxa"/>
            <w:vAlign w:val="bottom"/>
          </w:tcPr>
          <w:p>
            <w:pPr>
              <w:ind w:left="80"/>
              <w:spacing w:after="0" w:line="181" w:lineRule="exact"/>
              <w:rPr>
                <w:sz w:val="20"/>
                <w:szCs w:val="20"/>
                <w:color w:val="auto"/>
              </w:rPr>
            </w:pPr>
            <w:r>
              <w:rPr>
                <w:rFonts w:ascii="Arial" w:cs="Arial" w:eastAsia="Arial" w:hAnsi="Arial"/>
                <w:sz w:val="15"/>
                <w:szCs w:val="15"/>
                <w:color w:val="auto"/>
              </w:rPr>
              <w:t>S1M1</w:t>
            </w:r>
            <w:r>
              <w:rPr>
                <w:rFonts w:ascii="Arial" w:cs="Arial" w:eastAsia="Arial" w:hAnsi="Arial"/>
                <w:sz w:val="20"/>
                <w:szCs w:val="20"/>
                <w:color w:val="auto"/>
                <w:vertAlign w:val="subscript"/>
              </w:rPr>
              <w:t>b</w:t>
            </w:r>
          </w:p>
        </w:tc>
        <w:tc>
          <w:tcPr>
            <w:tcW w:w="2080" w:type="dxa"/>
            <w:vAlign w:val="bottom"/>
          </w:tcPr>
          <w:p>
            <w:pPr>
              <w:jc w:val="center"/>
              <w:ind w:right="280"/>
              <w:spacing w:after="0" w:line="178" w:lineRule="exact"/>
              <w:rPr>
                <w:sz w:val="20"/>
                <w:szCs w:val="20"/>
                <w:color w:val="auto"/>
              </w:rPr>
            </w:pPr>
            <w:r>
              <w:rPr>
                <w:rFonts w:ascii="Arial" w:cs="Arial" w:eastAsia="Arial" w:hAnsi="Arial"/>
                <w:sz w:val="16"/>
                <w:szCs w:val="16"/>
                <w:color w:val="auto"/>
                <w:w w:val="88"/>
              </w:rPr>
              <w:t>−30, −30, 69</w:t>
            </w:r>
          </w:p>
        </w:tc>
        <w:tc>
          <w:tcPr>
            <w:tcW w:w="1020" w:type="dxa"/>
            <w:vAlign w:val="bottom"/>
          </w:tcPr>
          <w:p>
            <w:pPr>
              <w:jc w:val="center"/>
              <w:ind w:right="280"/>
              <w:spacing w:after="0" w:line="178" w:lineRule="exact"/>
              <w:rPr>
                <w:sz w:val="20"/>
                <w:szCs w:val="20"/>
                <w:color w:val="auto"/>
              </w:rPr>
            </w:pPr>
            <w:r>
              <w:rPr>
                <w:rFonts w:ascii="Arial" w:cs="Arial" w:eastAsia="Arial" w:hAnsi="Arial"/>
                <w:sz w:val="16"/>
                <w:szCs w:val="16"/>
                <w:color w:val="auto"/>
                <w:w w:val="83"/>
              </w:rPr>
              <w:t>7.72</w:t>
            </w:r>
          </w:p>
        </w:tc>
        <w:tc>
          <w:tcPr>
            <w:tcW w:w="2060" w:type="dxa"/>
            <w:vAlign w:val="bottom"/>
          </w:tcPr>
          <w:p>
            <w:pPr>
              <w:jc w:val="center"/>
              <w:ind w:right="260"/>
              <w:spacing w:after="0" w:line="178" w:lineRule="exact"/>
              <w:rPr>
                <w:sz w:val="20"/>
                <w:szCs w:val="20"/>
                <w:color w:val="auto"/>
              </w:rPr>
            </w:pPr>
            <w:r>
              <w:rPr>
                <w:rFonts w:ascii="Arial" w:cs="Arial" w:eastAsia="Arial" w:hAnsi="Arial"/>
                <w:sz w:val="16"/>
                <w:szCs w:val="16"/>
                <w:color w:val="auto"/>
                <w:w w:val="88"/>
              </w:rPr>
              <w:t>−35, −18, 63</w:t>
            </w:r>
          </w:p>
        </w:tc>
        <w:tc>
          <w:tcPr>
            <w:tcW w:w="1020" w:type="dxa"/>
            <w:vAlign w:val="bottom"/>
          </w:tcPr>
          <w:p>
            <w:pPr>
              <w:jc w:val="right"/>
              <w:ind w:right="420"/>
              <w:spacing w:after="0" w:line="178" w:lineRule="exact"/>
              <w:rPr>
                <w:sz w:val="20"/>
                <w:szCs w:val="20"/>
                <w:color w:val="auto"/>
              </w:rPr>
            </w:pPr>
            <w:r>
              <w:rPr>
                <w:rFonts w:ascii="Arial" w:cs="Arial" w:eastAsia="Arial" w:hAnsi="Arial"/>
                <w:sz w:val="16"/>
                <w:szCs w:val="16"/>
                <w:color w:val="auto"/>
              </w:rPr>
              <w:t>11.33</w:t>
            </w:r>
          </w:p>
        </w:tc>
        <w:tc>
          <w:tcPr>
            <w:tcW w:w="2080" w:type="dxa"/>
            <w:vAlign w:val="bottom"/>
          </w:tcPr>
          <w:p>
            <w:pPr>
              <w:jc w:val="center"/>
              <w:ind w:right="260"/>
              <w:spacing w:after="0" w:line="178" w:lineRule="exact"/>
              <w:rPr>
                <w:sz w:val="20"/>
                <w:szCs w:val="20"/>
                <w:color w:val="auto"/>
              </w:rPr>
            </w:pPr>
            <w:r>
              <w:rPr>
                <w:rFonts w:ascii="Arial" w:cs="Arial" w:eastAsia="Arial" w:hAnsi="Arial"/>
                <w:sz w:val="16"/>
                <w:szCs w:val="16"/>
                <w:color w:val="auto"/>
                <w:w w:val="91"/>
              </w:rPr>
              <w:t>−36, −27, 66</w:t>
            </w:r>
          </w:p>
        </w:tc>
        <w:tc>
          <w:tcPr>
            <w:tcW w:w="640" w:type="dxa"/>
            <w:vAlign w:val="bottom"/>
          </w:tcPr>
          <w:p>
            <w:pPr>
              <w:jc w:val="right"/>
              <w:ind w:right="60"/>
              <w:spacing w:after="0" w:line="178" w:lineRule="exact"/>
              <w:rPr>
                <w:sz w:val="20"/>
                <w:szCs w:val="20"/>
                <w:color w:val="auto"/>
              </w:rPr>
            </w:pPr>
            <w:r>
              <w:rPr>
                <w:rFonts w:ascii="Arial" w:cs="Arial" w:eastAsia="Arial" w:hAnsi="Arial"/>
                <w:sz w:val="16"/>
                <w:szCs w:val="16"/>
                <w:color w:val="auto"/>
              </w:rPr>
              <w:t>13.77</w:t>
            </w:r>
          </w:p>
        </w:tc>
      </w:tr>
      <w:tr>
        <w:trPr>
          <w:trHeight w:val="179"/>
        </w:trPr>
        <w:tc>
          <w:tcPr>
            <w:tcW w:w="940" w:type="dxa"/>
            <w:vAlign w:val="bottom"/>
          </w:tcPr>
          <w:p>
            <w:pPr>
              <w:ind w:left="80"/>
              <w:spacing w:after="0" w:line="179" w:lineRule="exact"/>
              <w:rPr>
                <w:sz w:val="20"/>
                <w:szCs w:val="20"/>
                <w:color w:val="auto"/>
              </w:rPr>
            </w:pPr>
            <w:r>
              <w:rPr>
                <w:rFonts w:ascii="Arial" w:cs="Arial" w:eastAsia="Arial" w:hAnsi="Arial"/>
                <w:sz w:val="15"/>
                <w:szCs w:val="15"/>
                <w:color w:val="auto"/>
              </w:rPr>
              <w:t>SMA</w:t>
            </w:r>
            <w:r>
              <w:rPr>
                <w:rFonts w:ascii="Arial" w:cs="Arial" w:eastAsia="Arial" w:hAnsi="Arial"/>
                <w:sz w:val="20"/>
                <w:szCs w:val="20"/>
                <w:color w:val="auto"/>
                <w:vertAlign w:val="subscript"/>
              </w:rPr>
              <w:t>a</w:t>
            </w:r>
          </w:p>
        </w:tc>
        <w:tc>
          <w:tcPr>
            <w:tcW w:w="208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2060" w:type="dxa"/>
            <w:vAlign w:val="bottom"/>
          </w:tcPr>
          <w:p>
            <w:pPr>
              <w:jc w:val="center"/>
              <w:ind w:right="260"/>
              <w:spacing w:after="0" w:line="178" w:lineRule="exact"/>
              <w:rPr>
                <w:sz w:val="20"/>
                <w:szCs w:val="20"/>
                <w:color w:val="auto"/>
              </w:rPr>
            </w:pPr>
            <w:r>
              <w:rPr>
                <w:rFonts w:ascii="Arial" w:cs="Arial" w:eastAsia="Arial" w:hAnsi="Arial"/>
                <w:sz w:val="16"/>
                <w:szCs w:val="16"/>
                <w:color w:val="auto"/>
                <w:w w:val="89"/>
              </w:rPr>
              <w:t>6, −6, 54</w:t>
            </w:r>
          </w:p>
        </w:tc>
        <w:tc>
          <w:tcPr>
            <w:tcW w:w="1020" w:type="dxa"/>
            <w:vAlign w:val="bottom"/>
          </w:tcPr>
          <w:p>
            <w:pPr>
              <w:jc w:val="right"/>
              <w:ind w:right="420"/>
              <w:spacing w:after="0" w:line="178" w:lineRule="exact"/>
              <w:rPr>
                <w:sz w:val="20"/>
                <w:szCs w:val="20"/>
                <w:color w:val="auto"/>
              </w:rPr>
            </w:pPr>
            <w:r>
              <w:rPr>
                <w:rFonts w:ascii="Arial" w:cs="Arial" w:eastAsia="Arial" w:hAnsi="Arial"/>
                <w:sz w:val="16"/>
                <w:szCs w:val="16"/>
                <w:color w:val="auto"/>
              </w:rPr>
              <w:t>5.75</w:t>
            </w:r>
          </w:p>
        </w:tc>
        <w:tc>
          <w:tcPr>
            <w:tcW w:w="2080" w:type="dxa"/>
            <w:vAlign w:val="bottom"/>
          </w:tcPr>
          <w:p>
            <w:pPr>
              <w:spacing w:after="0"/>
              <w:rPr>
                <w:sz w:val="15"/>
                <w:szCs w:val="15"/>
                <w:color w:val="auto"/>
              </w:rPr>
            </w:pPr>
          </w:p>
        </w:tc>
        <w:tc>
          <w:tcPr>
            <w:tcW w:w="640" w:type="dxa"/>
            <w:vAlign w:val="bottom"/>
          </w:tcPr>
          <w:p>
            <w:pPr>
              <w:spacing w:after="0"/>
              <w:rPr>
                <w:sz w:val="15"/>
                <w:szCs w:val="15"/>
                <w:color w:val="auto"/>
              </w:rPr>
            </w:pPr>
          </w:p>
        </w:tc>
      </w:tr>
      <w:tr>
        <w:trPr>
          <w:trHeight w:val="180"/>
        </w:trPr>
        <w:tc>
          <w:tcPr>
            <w:tcW w:w="940" w:type="dxa"/>
            <w:vAlign w:val="bottom"/>
          </w:tcPr>
          <w:p>
            <w:pPr>
              <w:ind w:left="80"/>
              <w:spacing w:after="0" w:line="181" w:lineRule="exact"/>
              <w:rPr>
                <w:sz w:val="20"/>
                <w:szCs w:val="20"/>
                <w:color w:val="auto"/>
              </w:rPr>
            </w:pPr>
            <w:r>
              <w:rPr>
                <w:rFonts w:ascii="Arial" w:cs="Arial" w:eastAsia="Arial" w:hAnsi="Arial"/>
                <w:sz w:val="15"/>
                <w:szCs w:val="15"/>
                <w:color w:val="auto"/>
              </w:rPr>
              <w:t>PMC</w:t>
            </w:r>
            <w:r>
              <w:rPr>
                <w:rFonts w:ascii="Arial" w:cs="Arial" w:eastAsia="Arial" w:hAnsi="Arial"/>
                <w:sz w:val="20"/>
                <w:szCs w:val="20"/>
                <w:color w:val="auto"/>
                <w:vertAlign w:val="subscript"/>
              </w:rPr>
              <w:t>a</w:t>
            </w:r>
          </w:p>
        </w:tc>
        <w:tc>
          <w:tcPr>
            <w:tcW w:w="2080" w:type="dxa"/>
            <w:vAlign w:val="bottom"/>
          </w:tcPr>
          <w:p>
            <w:pPr>
              <w:jc w:val="center"/>
              <w:ind w:right="260"/>
              <w:spacing w:after="0" w:line="178" w:lineRule="exact"/>
              <w:rPr>
                <w:sz w:val="20"/>
                <w:szCs w:val="20"/>
                <w:color w:val="auto"/>
              </w:rPr>
            </w:pPr>
            <w:r>
              <w:rPr>
                <w:rFonts w:ascii="Arial" w:cs="Arial" w:eastAsia="Arial" w:hAnsi="Arial"/>
                <w:sz w:val="16"/>
                <w:szCs w:val="16"/>
                <w:color w:val="auto"/>
                <w:w w:val="86"/>
              </w:rPr>
              <w:t>63, −27, 24</w:t>
            </w:r>
          </w:p>
        </w:tc>
        <w:tc>
          <w:tcPr>
            <w:tcW w:w="1020" w:type="dxa"/>
            <w:vAlign w:val="bottom"/>
          </w:tcPr>
          <w:p>
            <w:pPr>
              <w:jc w:val="center"/>
              <w:ind w:right="280"/>
              <w:spacing w:after="0" w:line="178" w:lineRule="exact"/>
              <w:rPr>
                <w:sz w:val="20"/>
                <w:szCs w:val="20"/>
                <w:color w:val="auto"/>
              </w:rPr>
            </w:pPr>
            <w:r>
              <w:rPr>
                <w:rFonts w:ascii="Arial" w:cs="Arial" w:eastAsia="Arial" w:hAnsi="Arial"/>
                <w:sz w:val="16"/>
                <w:szCs w:val="16"/>
                <w:color w:val="auto"/>
                <w:w w:val="83"/>
              </w:rPr>
              <w:t>6.11</w:t>
            </w:r>
          </w:p>
        </w:tc>
        <w:tc>
          <w:tcPr>
            <w:tcW w:w="206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2080" w:type="dxa"/>
            <w:vAlign w:val="bottom"/>
          </w:tcPr>
          <w:p>
            <w:pPr>
              <w:spacing w:after="0"/>
              <w:rPr>
                <w:sz w:val="15"/>
                <w:szCs w:val="15"/>
                <w:color w:val="auto"/>
              </w:rPr>
            </w:pPr>
          </w:p>
        </w:tc>
        <w:tc>
          <w:tcPr>
            <w:tcW w:w="640" w:type="dxa"/>
            <w:vAlign w:val="bottom"/>
          </w:tcPr>
          <w:p>
            <w:pPr>
              <w:spacing w:after="0"/>
              <w:rPr>
                <w:sz w:val="15"/>
                <w:szCs w:val="15"/>
                <w:color w:val="auto"/>
              </w:rPr>
            </w:pPr>
          </w:p>
        </w:tc>
      </w:tr>
      <w:tr>
        <w:trPr>
          <w:trHeight w:val="197"/>
        </w:trPr>
        <w:tc>
          <w:tcPr>
            <w:tcW w:w="940" w:type="dxa"/>
            <w:vAlign w:val="bottom"/>
            <w:tcBorders>
              <w:bottom w:val="single" w:sz="8" w:color="10147E"/>
            </w:tcBorders>
          </w:tcPr>
          <w:p>
            <w:pPr>
              <w:ind w:left="80"/>
              <w:spacing w:after="0" w:line="197" w:lineRule="exact"/>
              <w:rPr>
                <w:sz w:val="20"/>
                <w:szCs w:val="20"/>
                <w:color w:val="auto"/>
              </w:rPr>
            </w:pPr>
            <w:r>
              <w:rPr>
                <w:rFonts w:ascii="Arial" w:cs="Arial" w:eastAsia="Arial" w:hAnsi="Arial"/>
                <w:sz w:val="16"/>
                <w:szCs w:val="16"/>
                <w:color w:val="auto"/>
              </w:rPr>
              <w:t>PMC</w:t>
            </w:r>
            <w:r>
              <w:rPr>
                <w:rFonts w:ascii="Arial" w:cs="Arial" w:eastAsia="Arial" w:hAnsi="Arial"/>
                <w:sz w:val="21"/>
                <w:szCs w:val="21"/>
                <w:color w:val="auto"/>
                <w:vertAlign w:val="subscript"/>
              </w:rPr>
              <w:t>b</w:t>
            </w:r>
          </w:p>
        </w:tc>
        <w:tc>
          <w:tcPr>
            <w:tcW w:w="2080" w:type="dxa"/>
            <w:vAlign w:val="bottom"/>
            <w:tcBorders>
              <w:bottom w:val="single" w:sz="8" w:color="10147E"/>
            </w:tcBorders>
          </w:tcPr>
          <w:p>
            <w:pPr>
              <w:spacing w:after="0"/>
              <w:rPr>
                <w:sz w:val="17"/>
                <w:szCs w:val="17"/>
                <w:color w:val="auto"/>
              </w:rPr>
            </w:pPr>
          </w:p>
        </w:tc>
        <w:tc>
          <w:tcPr>
            <w:tcW w:w="1020" w:type="dxa"/>
            <w:vAlign w:val="bottom"/>
            <w:tcBorders>
              <w:bottom w:val="single" w:sz="8" w:color="10147E"/>
            </w:tcBorders>
          </w:tcPr>
          <w:p>
            <w:pPr>
              <w:spacing w:after="0"/>
              <w:rPr>
                <w:sz w:val="17"/>
                <w:szCs w:val="17"/>
                <w:color w:val="auto"/>
              </w:rPr>
            </w:pPr>
          </w:p>
        </w:tc>
        <w:tc>
          <w:tcPr>
            <w:tcW w:w="2060" w:type="dxa"/>
            <w:vAlign w:val="bottom"/>
            <w:tcBorders>
              <w:bottom w:val="single" w:sz="8" w:color="10147E"/>
            </w:tcBorders>
          </w:tcPr>
          <w:p>
            <w:pPr>
              <w:jc w:val="center"/>
              <w:ind w:right="260"/>
              <w:spacing w:after="0" w:line="180" w:lineRule="exact"/>
              <w:rPr>
                <w:sz w:val="20"/>
                <w:szCs w:val="20"/>
                <w:color w:val="auto"/>
              </w:rPr>
            </w:pPr>
            <w:r>
              <w:rPr>
                <w:rFonts w:ascii="Arial" w:cs="Arial" w:eastAsia="Arial" w:hAnsi="Arial"/>
                <w:sz w:val="16"/>
                <w:szCs w:val="16"/>
                <w:color w:val="auto"/>
                <w:w w:val="88"/>
              </w:rPr>
              <w:t>−18, 66, −6</w:t>
            </w:r>
          </w:p>
        </w:tc>
        <w:tc>
          <w:tcPr>
            <w:tcW w:w="1020" w:type="dxa"/>
            <w:vAlign w:val="bottom"/>
            <w:tcBorders>
              <w:bottom w:val="single" w:sz="8" w:color="10147E"/>
            </w:tcBorders>
          </w:tcPr>
          <w:p>
            <w:pPr>
              <w:jc w:val="right"/>
              <w:ind w:right="420"/>
              <w:spacing w:after="0" w:line="180" w:lineRule="exact"/>
              <w:rPr>
                <w:sz w:val="20"/>
                <w:szCs w:val="20"/>
                <w:color w:val="auto"/>
              </w:rPr>
            </w:pPr>
            <w:r>
              <w:rPr>
                <w:rFonts w:ascii="Arial" w:cs="Arial" w:eastAsia="Arial" w:hAnsi="Arial"/>
                <w:sz w:val="16"/>
                <w:szCs w:val="16"/>
                <w:color w:val="auto"/>
              </w:rPr>
              <w:t>4.84</w:t>
            </w:r>
          </w:p>
        </w:tc>
        <w:tc>
          <w:tcPr>
            <w:tcW w:w="2080" w:type="dxa"/>
            <w:vAlign w:val="bottom"/>
            <w:tcBorders>
              <w:bottom w:val="single" w:sz="8" w:color="10147E"/>
            </w:tcBorders>
          </w:tcPr>
          <w:p>
            <w:pPr>
              <w:spacing w:after="0"/>
              <w:rPr>
                <w:sz w:val="17"/>
                <w:szCs w:val="17"/>
                <w:color w:val="auto"/>
              </w:rPr>
            </w:pPr>
          </w:p>
        </w:tc>
        <w:tc>
          <w:tcPr>
            <w:tcW w:w="640" w:type="dxa"/>
            <w:vAlign w:val="bottom"/>
            <w:tcBorders>
              <w:bottom w:val="single" w:sz="8" w:color="10147E"/>
            </w:tcBorders>
          </w:tcPr>
          <w:p>
            <w:pPr>
              <w:spacing w:after="0"/>
              <w:rPr>
                <w:sz w:val="17"/>
                <w:szCs w:val="17"/>
                <w:color w:val="auto"/>
              </w:rPr>
            </w:pPr>
          </w:p>
        </w:tc>
      </w:tr>
    </w:tbl>
    <w:p>
      <w:pPr>
        <w:spacing w:after="0" w:line="36" w:lineRule="exact"/>
        <w:rPr>
          <w:sz w:val="20"/>
          <w:szCs w:val="20"/>
          <w:color w:val="auto"/>
        </w:rPr>
      </w:pPr>
    </w:p>
    <w:p>
      <w:pPr>
        <w:spacing w:after="0"/>
        <w:rPr>
          <w:sz w:val="20"/>
          <w:szCs w:val="20"/>
          <w:color w:val="auto"/>
        </w:rPr>
      </w:pPr>
      <w:r>
        <w:rPr>
          <w:rFonts w:ascii="Arial" w:cs="Arial" w:eastAsia="Arial" w:hAnsi="Arial"/>
          <w:sz w:val="16"/>
          <w:szCs w:val="16"/>
          <w:color w:val="auto"/>
        </w:rPr>
        <w:t>Note: A: Ipsilateral brain regions relative to the moving hand</w:t>
      </w:r>
    </w:p>
    <w:p>
      <w:pPr>
        <w:ind w:left="360"/>
        <w:spacing w:after="0" w:line="232" w:lineRule="auto"/>
        <w:rPr>
          <w:sz w:val="20"/>
          <w:szCs w:val="20"/>
          <w:color w:val="auto"/>
        </w:rPr>
      </w:pPr>
      <w:r>
        <w:rPr>
          <w:rFonts w:ascii="Arial" w:cs="Arial" w:eastAsia="Arial" w:hAnsi="Arial"/>
          <w:sz w:val="16"/>
          <w:szCs w:val="16"/>
          <w:color w:val="auto"/>
        </w:rPr>
        <w:t>b: Contralateral brain regions relative to the moving hand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766445</wp:posOffset>
            </wp:positionH>
            <wp:positionV relativeFrom="paragraph">
              <wp:posOffset>458470</wp:posOffset>
            </wp:positionV>
            <wp:extent cx="4714875" cy="338455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extLst>
                        <a:ext uri="{28A0092B-C50C-407E-A947-70E740481C1C}"/>
                      </a:extLst>
                    </a:blip>
                    <a:srcRect/>
                    <a:stretch>
                      <a:fillRect/>
                    </a:stretch>
                  </pic:blipFill>
                  <pic:spPr bwMode="auto">
                    <a:xfrm>
                      <a:off x="0" y="0"/>
                      <a:ext cx="4714875" cy="3384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line="237" w:lineRule="auto"/>
        <w:rPr>
          <w:sz w:val="20"/>
          <w:szCs w:val="20"/>
          <w:color w:val="auto"/>
        </w:rPr>
      </w:pPr>
      <w:r>
        <w:rPr>
          <w:rFonts w:ascii="Arial" w:cs="Arial" w:eastAsia="Arial" w:hAnsi="Arial"/>
          <w:sz w:val="19"/>
          <w:szCs w:val="19"/>
          <w:b w:val="1"/>
          <w:bCs w:val="1"/>
          <w:color w:val="10147E"/>
        </w:rPr>
        <w:t xml:space="preserve">Figure 4. </w:t>
      </w:r>
      <w:r>
        <w:rPr>
          <w:rFonts w:ascii="Arial" w:cs="Arial" w:eastAsia="Arial" w:hAnsi="Arial"/>
          <w:sz w:val="19"/>
          <w:szCs w:val="19"/>
          <w:color w:val="000000"/>
        </w:rPr>
        <w:t>The dynamic global motor cortex activation map with right-hand (paretic hand) movements in the left hemisphere stroke</w:t>
      </w:r>
      <w:r>
        <w:rPr>
          <w:rFonts w:ascii="Arial" w:cs="Arial" w:eastAsia="Arial" w:hAnsi="Arial"/>
          <w:sz w:val="19"/>
          <w:szCs w:val="19"/>
          <w:b w:val="1"/>
          <w:bCs w:val="1"/>
          <w:color w:val="10147E"/>
        </w:rPr>
        <w:t xml:space="preserve"> </w:t>
      </w:r>
      <w:r>
        <w:rPr>
          <w:rFonts w:ascii="Arial" w:cs="Arial" w:eastAsia="Arial" w:hAnsi="Arial"/>
          <w:sz w:val="19"/>
          <w:szCs w:val="19"/>
          <w:color w:val="000000"/>
        </w:rPr>
        <w:t>group.</w:t>
      </w:r>
    </w:p>
    <w:p>
      <w:pPr>
        <w:sectPr>
          <w:pgSz w:w="11880" w:h="15840" w:orient="portrait"/>
          <w:cols w:equalWidth="0" w:num="1">
            <w:col w:w="9840"/>
          </w:cols>
          <w:pgMar w:left="1020" w:top="520" w:right="1019" w:bottom="584" w:gutter="0" w:footer="0" w:header="0"/>
          <w:type w:val="continuous"/>
        </w:sectPr>
      </w:pPr>
    </w:p>
    <w:bookmarkStart w:id="8" w:name="page9"/>
    <w:bookmarkEnd w:id="8"/>
    <w:p>
      <w:pPr>
        <w:spacing w:after="0"/>
        <w:tabs>
          <w:tab w:leader="none" w:pos="207" w:val="left"/>
        </w:tabs>
        <w:rPr>
          <w:sz w:val="20"/>
          <w:szCs w:val="20"/>
          <w:color w:val="auto"/>
        </w:rPr>
      </w:pPr>
      <w:r>
        <w:rPr>
          <w:rFonts w:ascii="Arial" w:cs="Arial" w:eastAsia="Arial" w:hAnsi="Arial"/>
          <w:sz w:val="15"/>
          <w:szCs w:val="15"/>
          <w:color w:val="auto"/>
        </w:rPr>
        <w:t>8</w:t>
      </w:r>
      <w:r>
        <w:rPr>
          <w:sz w:val="20"/>
          <w:szCs w:val="20"/>
          <w:color w:val="auto"/>
        </w:rPr>
        <w:tab/>
      </w:r>
      <w:r>
        <w:rPr>
          <w:sz w:val="1"/>
          <w:szCs w:val="1"/>
          <w:color w:val="auto"/>
        </w:rPr>
        <w:drawing>
          <wp:inline distT="0" distB="0" distL="0" distR="0">
            <wp:extent cx="139700" cy="1397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extLst>
                        <a:ext uri="{28A0092B-C50C-407E-A947-70E740481C1C}"/>
                      </a:extLst>
                    </a:blip>
                    <a:srcRect/>
                    <a:stretch>
                      <a:fillRect/>
                    </a:stretch>
                  </pic:blipFill>
                  <pic:spPr bwMode="auto">
                    <a:xfrm>
                      <a:off x="0" y="0"/>
                      <a:ext cx="139700" cy="139700"/>
                    </a:xfrm>
                    <a:prstGeom prst="rect">
                      <a:avLst/>
                    </a:prstGeom>
                    <a:noFill/>
                    <a:ln>
                      <a:noFill/>
                    </a:ln>
                  </pic:spPr>
                </pic:pic>
              </a:graphicData>
            </a:graphic>
          </wp:inline>
        </w:drawing>
      </w:r>
      <w:r>
        <w:rPr>
          <w:rFonts w:ascii="Arial" w:cs="Arial" w:eastAsia="Arial" w:hAnsi="Arial"/>
          <w:sz w:val="15"/>
          <w:szCs w:val="15"/>
          <w:color w:val="auto"/>
        </w:rPr>
        <w:t xml:space="preserve">  L. CHUNYONG ET AL.</w:t>
      </w:r>
    </w:p>
    <w:p>
      <w:pPr>
        <w:spacing w:after="0" w:line="265" w:lineRule="exact"/>
        <w:rPr>
          <w:sz w:val="20"/>
          <w:szCs w:val="20"/>
          <w:color w:val="auto"/>
        </w:rPr>
      </w:pPr>
    </w:p>
    <w:p>
      <w:pPr>
        <w:jc w:val="both"/>
        <w:spacing w:after="0" w:line="266" w:lineRule="auto"/>
        <w:rPr>
          <w:sz w:val="20"/>
          <w:szCs w:val="20"/>
          <w:color w:val="auto"/>
        </w:rPr>
      </w:pPr>
      <w:r>
        <w:rPr>
          <w:rFonts w:ascii="Arial" w:cs="Arial" w:eastAsia="Arial" w:hAnsi="Arial"/>
          <w:sz w:val="22"/>
          <w:szCs w:val="22"/>
          <w:color w:val="auto"/>
        </w:rPr>
        <w:t>3A shows that the bilateral S1M1 and right PMC were activated during paretic hand movements during the first session (acute stage). 4B shows that the bilateral S1M1, right SMA, and left PMC were activated during paretic hand movements during session 2 (early subacute stage). 4C shows that only the left S1M1 was activated during paretic hand movements during session 3 (late subacute stage).</w:t>
      </w:r>
    </w:p>
    <w:p>
      <w:pPr>
        <w:spacing w:after="0" w:line="7" w:lineRule="exact"/>
        <w:rPr>
          <w:sz w:val="20"/>
          <w:szCs w:val="20"/>
          <w:color w:val="auto"/>
        </w:rPr>
      </w:pPr>
    </w:p>
    <w:p>
      <w:pPr>
        <w:jc w:val="both"/>
        <w:ind w:firstLine="239"/>
        <w:spacing w:after="0" w:line="256" w:lineRule="auto"/>
        <w:rPr>
          <w:rFonts w:ascii="Arial" w:cs="Arial" w:eastAsia="Arial" w:hAnsi="Arial"/>
          <w:sz w:val="23"/>
          <w:szCs w:val="23"/>
          <w:color w:val="000080"/>
        </w:rPr>
      </w:pPr>
      <w:hyperlink w:anchor="page8">
        <w:r>
          <w:rPr>
            <w:rFonts w:ascii="Arial" w:cs="Arial" w:eastAsia="Arial" w:hAnsi="Arial"/>
            <w:sz w:val="23"/>
            <w:szCs w:val="23"/>
            <w:color w:val="000080"/>
          </w:rPr>
          <w:t xml:space="preserve">Table 6 </w:t>
        </w:r>
      </w:hyperlink>
      <w:r>
        <w:rPr>
          <w:rFonts w:ascii="Arial" w:cs="Arial" w:eastAsia="Arial" w:hAnsi="Arial"/>
          <w:sz w:val="23"/>
          <w:szCs w:val="23"/>
          <w:color w:val="000000"/>
        </w:rPr>
        <w:t>shows</w:t>
      </w:r>
      <w:r>
        <w:rPr>
          <w:rFonts w:ascii="Arial" w:cs="Arial" w:eastAsia="Arial" w:hAnsi="Arial"/>
          <w:sz w:val="23"/>
          <w:szCs w:val="23"/>
          <w:color w:val="000080"/>
        </w:rPr>
        <w:t xml:space="preserve"> </w:t>
      </w:r>
      <w:r>
        <w:rPr>
          <w:rFonts w:ascii="Arial" w:cs="Arial" w:eastAsia="Arial" w:hAnsi="Arial"/>
          <w:sz w:val="23"/>
          <w:szCs w:val="23"/>
          <w:color w:val="000000"/>
        </w:rPr>
        <w:t>the statistical information of</w:t>
      </w:r>
      <w:r>
        <w:rPr>
          <w:rFonts w:ascii="Arial" w:cs="Arial" w:eastAsia="Arial" w:hAnsi="Arial"/>
          <w:sz w:val="23"/>
          <w:szCs w:val="23"/>
          <w:color w:val="000080"/>
        </w:rPr>
        <w:t xml:space="preserve"> </w:t>
      </w:r>
      <w:r>
        <w:rPr>
          <w:rFonts w:ascii="Arial" w:cs="Arial" w:eastAsia="Arial" w:hAnsi="Arial"/>
          <w:sz w:val="23"/>
          <w:szCs w:val="23"/>
          <w:color w:val="000000"/>
        </w:rPr>
        <w:t xml:space="preserve">the left hemisphere stroke group, as analyzed by a </w:t>
      </w:r>
      <w:r>
        <w:rPr>
          <w:rFonts w:ascii="Arial" w:cs="Arial" w:eastAsia="Arial" w:hAnsi="Arial"/>
          <w:sz w:val="23"/>
          <w:szCs w:val="23"/>
          <w:i w:val="1"/>
          <w:iCs w:val="1"/>
          <w:color w:val="000000"/>
        </w:rPr>
        <w:t>t</w:t>
      </w:r>
      <w:r>
        <w:rPr>
          <w:rFonts w:ascii="Arial" w:cs="Arial" w:eastAsia="Arial" w:hAnsi="Arial"/>
          <w:sz w:val="23"/>
          <w:szCs w:val="23"/>
          <w:color w:val="000000"/>
        </w:rPr>
        <w:t xml:space="preserve"> test with xjview processing software, and the coordinates of the most highly activated voxel (MINI coordinates) and activation intensi-ties (T scores) are listed by activated areas (</w:t>
      </w:r>
      <w:r>
        <w:rPr>
          <w:rFonts w:ascii="Arial" w:cs="Arial" w:eastAsia="Arial" w:hAnsi="Arial"/>
          <w:sz w:val="23"/>
          <w:szCs w:val="23"/>
          <w:i w:val="1"/>
          <w:iCs w:val="1"/>
          <w:color w:val="000000"/>
        </w:rPr>
        <w:t>p</w:t>
      </w:r>
      <w:r>
        <w:rPr>
          <w:rFonts w:ascii="Arial" w:cs="Arial" w:eastAsia="Arial" w:hAnsi="Arial"/>
          <w:sz w:val="23"/>
          <w:szCs w:val="23"/>
          <w:color w:val="000000"/>
        </w:rPr>
        <w:t xml:space="preserve"> &lt; .05, FWR; Ke ≥ 10).</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97" w:lineRule="exact"/>
        <w:rPr>
          <w:sz w:val="20"/>
          <w:szCs w:val="20"/>
          <w:color w:val="auto"/>
        </w:rPr>
      </w:pPr>
    </w:p>
    <w:p>
      <w:pPr>
        <w:jc w:val="both"/>
        <w:spacing w:after="0" w:line="279" w:lineRule="auto"/>
        <w:rPr>
          <w:sz w:val="20"/>
          <w:szCs w:val="20"/>
          <w:color w:val="auto"/>
        </w:rPr>
      </w:pPr>
      <w:r>
        <w:rPr>
          <w:rFonts w:ascii="Arial" w:cs="Arial" w:eastAsia="Arial" w:hAnsi="Arial"/>
          <w:sz w:val="21"/>
          <w:szCs w:val="21"/>
          <w:color w:val="auto"/>
        </w:rPr>
        <w:t>shows that the bilateral S1M1, right PMC, and right SMA were activated during paretic hand movements during the first session (acute stage). 5B shows that the bilateral S1M1, right SMA, and right PMC were activated during paretic hand movements during session 2 (early subacute stage).5C shows that only the right S1M1 was acti-vated during paretic hand movements during ses-sion 3 (late subacute stage).</w:t>
      </w:r>
    </w:p>
    <w:p>
      <w:pPr>
        <w:spacing w:after="0" w:line="4" w:lineRule="exact"/>
        <w:rPr>
          <w:sz w:val="20"/>
          <w:szCs w:val="20"/>
          <w:color w:val="auto"/>
        </w:rPr>
      </w:pPr>
    </w:p>
    <w:p>
      <w:pPr>
        <w:jc w:val="both"/>
        <w:ind w:firstLine="239"/>
        <w:spacing w:after="0" w:line="266" w:lineRule="auto"/>
        <w:rPr>
          <w:rFonts w:ascii="Arial" w:cs="Arial" w:eastAsia="Arial" w:hAnsi="Arial"/>
          <w:sz w:val="23"/>
          <w:szCs w:val="23"/>
          <w:color w:val="000080"/>
        </w:rPr>
      </w:pPr>
      <w:hyperlink w:anchor="page9">
        <w:r>
          <w:rPr>
            <w:rFonts w:ascii="Arial" w:cs="Arial" w:eastAsia="Arial" w:hAnsi="Arial"/>
            <w:sz w:val="23"/>
            <w:szCs w:val="23"/>
            <w:color w:val="000080"/>
          </w:rPr>
          <w:t xml:space="preserve">Table 7 </w:t>
        </w:r>
      </w:hyperlink>
      <w:r>
        <w:rPr>
          <w:rFonts w:ascii="Arial" w:cs="Arial" w:eastAsia="Arial" w:hAnsi="Arial"/>
          <w:sz w:val="23"/>
          <w:szCs w:val="23"/>
          <w:color w:val="000000"/>
        </w:rPr>
        <w:t>shows</w:t>
      </w:r>
      <w:r>
        <w:rPr>
          <w:rFonts w:ascii="Arial" w:cs="Arial" w:eastAsia="Arial" w:hAnsi="Arial"/>
          <w:sz w:val="23"/>
          <w:szCs w:val="23"/>
          <w:color w:val="000080"/>
        </w:rPr>
        <w:t xml:space="preserve"> </w:t>
      </w:r>
      <w:r>
        <w:rPr>
          <w:rFonts w:ascii="Arial" w:cs="Arial" w:eastAsia="Arial" w:hAnsi="Arial"/>
          <w:sz w:val="23"/>
          <w:szCs w:val="23"/>
          <w:color w:val="000000"/>
        </w:rPr>
        <w:t>the statistical information of</w:t>
      </w:r>
      <w:r>
        <w:rPr>
          <w:rFonts w:ascii="Arial" w:cs="Arial" w:eastAsia="Arial" w:hAnsi="Arial"/>
          <w:sz w:val="23"/>
          <w:szCs w:val="23"/>
          <w:color w:val="000080"/>
        </w:rPr>
        <w:t xml:space="preserve"> </w:t>
      </w:r>
      <w:r>
        <w:rPr>
          <w:rFonts w:ascii="Arial" w:cs="Arial" w:eastAsia="Arial" w:hAnsi="Arial"/>
          <w:sz w:val="23"/>
          <w:szCs w:val="23"/>
          <w:color w:val="000000"/>
        </w:rPr>
        <w:t xml:space="preserve">the left hemisphere stroke group, as analyzed by a </w:t>
      </w:r>
      <w:r>
        <w:rPr>
          <w:rFonts w:ascii="Arial" w:cs="Arial" w:eastAsia="Arial" w:hAnsi="Arial"/>
          <w:sz w:val="23"/>
          <w:szCs w:val="23"/>
          <w:i w:val="1"/>
          <w:iCs w:val="1"/>
          <w:color w:val="000000"/>
        </w:rPr>
        <w:t>t</w:t>
      </w:r>
      <w:r>
        <w:rPr>
          <w:rFonts w:ascii="Arial" w:cs="Arial" w:eastAsia="Arial" w:hAnsi="Arial"/>
          <w:sz w:val="23"/>
          <w:szCs w:val="23"/>
          <w:color w:val="000000"/>
        </w:rPr>
        <w:t xml:space="preserve"> test with xjview processing software, and the coordinates of the most highly activated voxel (MINI coordinates) and activation intensi-ties (T scores) are listed by activated areas (</w:t>
      </w:r>
      <w:r>
        <w:rPr>
          <w:rFonts w:ascii="Arial" w:cs="Arial" w:eastAsia="Arial" w:hAnsi="Arial"/>
          <w:sz w:val="23"/>
          <w:szCs w:val="23"/>
          <w:i w:val="1"/>
          <w:iCs w:val="1"/>
          <w:color w:val="000000"/>
        </w:rPr>
        <w:t>p</w:t>
      </w:r>
      <w:r>
        <w:rPr>
          <w:rFonts w:ascii="Arial" w:cs="Arial" w:eastAsia="Arial" w:hAnsi="Arial"/>
          <w:sz w:val="23"/>
          <w:szCs w:val="23"/>
          <w:color w:val="000000"/>
        </w:rPr>
        <w:t xml:space="preserve"> &lt; .05, FWR; Ke ≥ 10).</w:t>
      </w:r>
    </w:p>
    <w:p>
      <w:pPr>
        <w:spacing w:after="0" w:line="200" w:lineRule="exact"/>
        <w:rPr>
          <w:sz w:val="20"/>
          <w:szCs w:val="20"/>
          <w:color w:val="auto"/>
        </w:rPr>
      </w:pPr>
    </w:p>
    <w:p>
      <w:pPr>
        <w:sectPr>
          <w:pgSz w:w="11880" w:h="15840" w:orient="portrait"/>
          <w:cols w:equalWidth="0" w:num="2">
            <w:col w:w="4740" w:space="360"/>
            <w:col w:w="4740"/>
          </w:cols>
          <w:pgMar w:left="1020" w:top="472" w:right="1019" w:bottom="669" w:gutter="0" w:footer="0" w:header="0"/>
        </w:sectPr>
      </w:pPr>
    </w:p>
    <w:p>
      <w:pPr>
        <w:spacing w:after="0" w:line="241"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3.3 Right hemisphere stroke group (group B)</w:t>
      </w:r>
    </w:p>
    <w:p>
      <w:pPr>
        <w:spacing w:after="0" w:line="175" w:lineRule="exact"/>
        <w:rPr>
          <w:sz w:val="20"/>
          <w:szCs w:val="20"/>
          <w:color w:val="auto"/>
        </w:rPr>
      </w:pPr>
    </w:p>
    <w:p>
      <w:pPr>
        <w:jc w:val="both"/>
        <w:spacing w:after="0" w:line="266" w:lineRule="auto"/>
        <w:rPr>
          <w:rFonts w:ascii="Arial" w:cs="Arial" w:eastAsia="Arial" w:hAnsi="Arial"/>
          <w:sz w:val="22"/>
          <w:szCs w:val="22"/>
          <w:color w:val="000080"/>
        </w:rPr>
      </w:pPr>
      <w:r>
        <w:rPr>
          <w:rFonts w:ascii="Arial" w:cs="Arial" w:eastAsia="Arial" w:hAnsi="Arial"/>
          <w:sz w:val="22"/>
          <w:szCs w:val="22"/>
          <w:color w:val="auto"/>
        </w:rPr>
        <w:t>Clenching the left hand (paretic hand) inacti-vated the expected sensorimotor network. During the first session, the motor task activated the bilateral S1M1, right PMC and SMA, and the total activation areas included 61.00 ± 12.67 vox-els in the left hemisphere motor cortex and 105.60 ± 14.66 voxels in the right hemisphere motor cortex. During session 2, paretic hand movements activated the bilateral S1M1, right PMC and SMA, and the total activation areas included 34.90 ± 10.64 voxels in the left hemi-sphere motor cortex and 83.70 ± 10.11 voxels in the right hemisphere motor cortex. During ses-sion 3, paretic hand movements activated only the right S1M1, and the total activation area included 96.80 ± 11.17 voxels (</w:t>
      </w:r>
      <w:hyperlink w:anchor="page9">
        <w:r>
          <w:rPr>
            <w:rFonts w:ascii="Arial" w:cs="Arial" w:eastAsia="Arial" w:hAnsi="Arial"/>
            <w:sz w:val="22"/>
            <w:szCs w:val="22"/>
            <w:color w:val="000080"/>
          </w:rPr>
          <w:t>Table 7</w:t>
        </w:r>
        <w:r>
          <w:rPr>
            <w:rFonts w:ascii="Arial" w:cs="Arial" w:eastAsia="Arial" w:hAnsi="Arial"/>
            <w:sz w:val="22"/>
            <w:szCs w:val="22"/>
            <w:color w:val="auto"/>
          </w:rPr>
          <w:t xml:space="preserve"> </w:t>
        </w:r>
      </w:hyperlink>
      <w:r>
        <w:rPr>
          <w:rFonts w:ascii="Arial" w:cs="Arial" w:eastAsia="Arial" w:hAnsi="Arial"/>
          <w:sz w:val="22"/>
          <w:szCs w:val="22"/>
          <w:color w:val="auto"/>
        </w:rPr>
        <w:t xml:space="preserve">and </w:t>
      </w:r>
      <w:hyperlink w:anchor="page10">
        <w:r>
          <w:rPr>
            <w:rFonts w:ascii="Arial" w:cs="Arial" w:eastAsia="Arial" w:hAnsi="Arial"/>
            <w:sz w:val="22"/>
            <w:szCs w:val="22"/>
            <w:color w:val="000080"/>
          </w:rPr>
          <w:t>Figure 5</w:t>
        </w:r>
      </w:hyperlink>
      <w:r>
        <w:rPr>
          <w:rFonts w:ascii="Arial" w:cs="Arial" w:eastAsia="Arial" w:hAnsi="Arial"/>
          <w:sz w:val="22"/>
          <w:szCs w:val="22"/>
          <w:color w:val="000000"/>
        </w:rPr>
        <w:t>).</w:t>
      </w:r>
    </w:p>
    <w:p>
      <w:pPr>
        <w:spacing w:after="0" w:line="5" w:lineRule="exact"/>
        <w:rPr>
          <w:sz w:val="20"/>
          <w:szCs w:val="20"/>
          <w:color w:val="auto"/>
        </w:rPr>
      </w:pPr>
    </w:p>
    <w:p>
      <w:pPr>
        <w:jc w:val="both"/>
        <w:ind w:firstLine="239"/>
        <w:spacing w:after="0" w:line="297" w:lineRule="auto"/>
        <w:rPr>
          <w:rFonts w:ascii="Arial" w:cs="Arial" w:eastAsia="Arial" w:hAnsi="Arial"/>
          <w:sz w:val="21"/>
          <w:szCs w:val="21"/>
          <w:color w:val="000080"/>
        </w:rPr>
      </w:pPr>
      <w:hyperlink w:anchor="page10">
        <w:r>
          <w:rPr>
            <w:rFonts w:ascii="Arial" w:cs="Arial" w:eastAsia="Arial" w:hAnsi="Arial"/>
            <w:sz w:val="21"/>
            <w:szCs w:val="21"/>
            <w:color w:val="000080"/>
          </w:rPr>
          <w:t xml:space="preserve">Figure 5 </w:t>
        </w:r>
      </w:hyperlink>
      <w:r>
        <w:rPr>
          <w:rFonts w:ascii="Arial" w:cs="Arial" w:eastAsia="Arial" w:hAnsi="Arial"/>
          <w:sz w:val="21"/>
          <w:szCs w:val="21"/>
          <w:color w:val="000000"/>
        </w:rPr>
        <w:t>shows</w:t>
      </w:r>
      <w:r>
        <w:rPr>
          <w:rFonts w:ascii="Arial" w:cs="Arial" w:eastAsia="Arial" w:hAnsi="Arial"/>
          <w:sz w:val="21"/>
          <w:szCs w:val="21"/>
          <w:color w:val="000080"/>
        </w:rPr>
        <w:t xml:space="preserve"> </w:t>
      </w:r>
      <w:r>
        <w:rPr>
          <w:rFonts w:ascii="Arial" w:cs="Arial" w:eastAsia="Arial" w:hAnsi="Arial"/>
          <w:sz w:val="21"/>
          <w:szCs w:val="21"/>
          <w:color w:val="000000"/>
        </w:rPr>
        <w:t>the dynamic global motor cortex</w:t>
      </w:r>
      <w:r>
        <w:rPr>
          <w:rFonts w:ascii="Arial" w:cs="Arial" w:eastAsia="Arial" w:hAnsi="Arial"/>
          <w:sz w:val="21"/>
          <w:szCs w:val="21"/>
          <w:color w:val="000080"/>
        </w:rPr>
        <w:t xml:space="preserve"> </w:t>
      </w:r>
      <w:r>
        <w:rPr>
          <w:rFonts w:ascii="Arial" w:cs="Arial" w:eastAsia="Arial" w:hAnsi="Arial"/>
          <w:sz w:val="21"/>
          <w:szCs w:val="21"/>
          <w:color w:val="000000"/>
        </w:rPr>
        <w:t>activation map with left-hand (paretic hand) move-ment in the right hemisphere stroke group. 5A</w:t>
      </w:r>
    </w:p>
    <w:p>
      <w:pPr>
        <w:spacing w:after="0" w:line="20" w:lineRule="exact"/>
        <w:rPr>
          <w:sz w:val="20"/>
          <w:szCs w:val="20"/>
          <w:color w:val="auto"/>
        </w:rPr>
      </w:pPr>
      <w:r>
        <w:rPr>
          <w:sz w:val="20"/>
          <w:szCs w:val="20"/>
          <w:color w:val="auto"/>
        </w:rPr>
        <w:br w:type="column"/>
      </w:r>
    </w:p>
    <w:p>
      <w:pPr>
        <w:spacing w:after="0" w:line="289"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3.4 Dominant hemisphere infarction vs.</w:t>
      </w:r>
    </w:p>
    <w:p>
      <w:pPr>
        <w:spacing w:after="0" w:line="39"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nondominant hemisphere infarction</w:t>
      </w:r>
    </w:p>
    <w:p>
      <w:pPr>
        <w:spacing w:after="0" w:line="187" w:lineRule="exact"/>
        <w:rPr>
          <w:sz w:val="20"/>
          <w:szCs w:val="20"/>
          <w:color w:val="auto"/>
        </w:rPr>
      </w:pPr>
    </w:p>
    <w:p>
      <w:pPr>
        <w:jc w:val="both"/>
        <w:spacing w:after="0" w:line="307" w:lineRule="auto"/>
        <w:rPr>
          <w:rFonts w:ascii="Arial" w:cs="Arial" w:eastAsia="Arial" w:hAnsi="Arial"/>
          <w:sz w:val="20"/>
          <w:szCs w:val="20"/>
          <w:color w:val="000080"/>
        </w:rPr>
      </w:pPr>
      <w:r>
        <w:rPr>
          <w:rFonts w:ascii="Arial" w:cs="Arial" w:eastAsia="Arial" w:hAnsi="Arial"/>
          <w:sz w:val="20"/>
          <w:szCs w:val="20"/>
          <w:color w:val="auto"/>
        </w:rPr>
        <w:t>While comparing the differences in cortical activa-tion across the three fMRI sessions, we found dif-ferences between the conditions of the dominant hemisphere affected and the dominant hemisphere unaffected. During session 1 and session 2, the activation of voxels by paretic hand movements was greater in the dominant hemisphere (impaired hemisphere) in the left hemisphere stroke group than in the nondominant hemisphere (impaired hemisphere) in the right hemisphere stroke group. The activation of voxels by paretic hand move-ments was also greater in the nondominant hemi-sphere (unimpaired hemisphere) in the left hemisphere stroke group than in the dominant hemisphere (unimpaired hemisphere) in the right hemisphere stroke group. During session 3, there were no differences between the groups (</w:t>
      </w:r>
      <w:hyperlink w:anchor="page8">
        <w:r>
          <w:rPr>
            <w:rFonts w:ascii="Arial" w:cs="Arial" w:eastAsia="Arial" w:hAnsi="Arial"/>
            <w:sz w:val="20"/>
            <w:szCs w:val="20"/>
            <w:color w:val="000080"/>
          </w:rPr>
          <w:t>Table 6</w:t>
        </w:r>
      </w:hyperlink>
      <w:r>
        <w:rPr>
          <w:rFonts w:ascii="Arial" w:cs="Arial" w:eastAsia="Arial" w:hAnsi="Arial"/>
          <w:sz w:val="20"/>
          <w:szCs w:val="20"/>
          <w:color w:val="auto"/>
        </w:rPr>
        <w:t xml:space="preserve">, </w:t>
      </w:r>
      <w:hyperlink w:anchor="page9">
        <w:r>
          <w:rPr>
            <w:rFonts w:ascii="Arial" w:cs="Arial" w:eastAsia="Arial" w:hAnsi="Arial"/>
            <w:sz w:val="20"/>
            <w:szCs w:val="20"/>
            <w:color w:val="000080"/>
          </w:rPr>
          <w:t>Table 7</w:t>
        </w:r>
      </w:hyperlink>
      <w:r>
        <w:rPr>
          <w:rFonts w:ascii="Arial" w:cs="Arial" w:eastAsia="Arial" w:hAnsi="Arial"/>
          <w:sz w:val="20"/>
          <w:szCs w:val="20"/>
          <w:color w:val="000000"/>
        </w:rPr>
        <w:t>,</w:t>
      </w:r>
      <w:r>
        <w:rPr>
          <w:rFonts w:ascii="Arial" w:cs="Arial" w:eastAsia="Arial" w:hAnsi="Arial"/>
          <w:sz w:val="20"/>
          <w:szCs w:val="20"/>
          <w:color w:val="000080"/>
        </w:rPr>
        <w:t xml:space="preserve"> </w:t>
      </w:r>
      <w:r>
        <w:rPr>
          <w:rFonts w:ascii="Arial" w:cs="Arial" w:eastAsia="Arial" w:hAnsi="Arial"/>
          <w:sz w:val="20"/>
          <w:szCs w:val="20"/>
          <w:color w:val="000000"/>
        </w:rPr>
        <w:t>and</w:t>
      </w:r>
      <w:r>
        <w:rPr>
          <w:rFonts w:ascii="Arial" w:cs="Arial" w:eastAsia="Arial" w:hAnsi="Arial"/>
          <w:sz w:val="20"/>
          <w:szCs w:val="20"/>
          <w:color w:val="000080"/>
        </w:rPr>
        <w:t xml:space="preserve"> </w:t>
      </w:r>
      <w:hyperlink w:anchor="page11">
        <w:r>
          <w:rPr>
            <w:rFonts w:ascii="Arial" w:cs="Arial" w:eastAsia="Arial" w:hAnsi="Arial"/>
            <w:sz w:val="20"/>
            <w:szCs w:val="20"/>
            <w:color w:val="000080"/>
          </w:rPr>
          <w:t>Figure 6</w:t>
        </w:r>
      </w:hyperlink>
      <w:r>
        <w:rPr>
          <w:rFonts w:ascii="Arial" w:cs="Arial" w:eastAsia="Arial" w:hAnsi="Arial"/>
          <w:sz w:val="20"/>
          <w:szCs w:val="20"/>
          <w:color w:val="000000"/>
        </w:rPr>
        <w:t>).</w:t>
      </w:r>
    </w:p>
    <w:p>
      <w:pPr>
        <w:spacing w:after="0" w:line="212" w:lineRule="exact"/>
        <w:rPr>
          <w:rFonts w:ascii="Arial" w:cs="Arial" w:eastAsia="Arial" w:hAnsi="Arial"/>
          <w:sz w:val="20"/>
          <w:szCs w:val="20"/>
          <w:color w:val="auto"/>
        </w:rPr>
      </w:pPr>
    </w:p>
    <w:p>
      <w:pPr>
        <w:sectPr>
          <w:pgSz w:w="11880" w:h="15840" w:orient="portrait"/>
          <w:cols w:equalWidth="0" w:num="2">
            <w:col w:w="4740" w:space="360"/>
            <w:col w:w="4740"/>
          </w:cols>
          <w:pgMar w:left="1020" w:top="472" w:right="1019" w:bottom="669" w:gutter="0" w:footer="0" w:header="0"/>
          <w:type w:val="continuous"/>
        </w:sectPr>
      </w:pPr>
    </w:p>
    <w:p>
      <w:pPr>
        <w:spacing w:after="0" w:line="179" w:lineRule="exact"/>
        <w:rPr>
          <w:rFonts w:ascii="Arial" w:cs="Arial" w:eastAsia="Arial" w:hAnsi="Arial"/>
          <w:sz w:val="20"/>
          <w:szCs w:val="20"/>
          <w:color w:val="auto"/>
        </w:rPr>
      </w:pPr>
    </w:p>
    <w:p>
      <w:pPr>
        <w:ind w:left="1000" w:right="1040"/>
        <w:spacing w:after="0" w:line="237" w:lineRule="auto"/>
        <w:rPr>
          <w:sz w:val="20"/>
          <w:szCs w:val="20"/>
          <w:color w:val="auto"/>
        </w:rPr>
      </w:pPr>
      <w:r>
        <w:rPr>
          <w:rFonts w:ascii="Arial" w:cs="Arial" w:eastAsia="Arial" w:hAnsi="Arial"/>
          <w:sz w:val="19"/>
          <w:szCs w:val="19"/>
          <w:b w:val="1"/>
          <w:bCs w:val="1"/>
          <w:color w:val="10147E"/>
        </w:rPr>
        <w:t xml:space="preserve">Table 7. </w:t>
      </w:r>
      <w:r>
        <w:rPr>
          <w:rFonts w:ascii="Arial" w:cs="Arial" w:eastAsia="Arial" w:hAnsi="Arial"/>
          <w:sz w:val="19"/>
          <w:szCs w:val="19"/>
          <w:color w:val="000000"/>
        </w:rPr>
        <w:t>MINI coordinates and T scores of the activated areas during left-hand (paretic) movements in the</w:t>
      </w:r>
      <w:r>
        <w:rPr>
          <w:rFonts w:ascii="Arial" w:cs="Arial" w:eastAsia="Arial" w:hAnsi="Arial"/>
          <w:sz w:val="19"/>
          <w:szCs w:val="19"/>
          <w:b w:val="1"/>
          <w:bCs w:val="1"/>
          <w:color w:val="10147E"/>
        </w:rPr>
        <w:t xml:space="preserve"> </w:t>
      </w:r>
      <w:r>
        <w:rPr>
          <w:rFonts w:ascii="Arial" w:cs="Arial" w:eastAsia="Arial" w:hAnsi="Arial"/>
          <w:sz w:val="19"/>
          <w:szCs w:val="19"/>
          <w:color w:val="000000"/>
        </w:rPr>
        <w:t>right hemisphere stroke group in different periods.</w:t>
      </w:r>
    </w:p>
    <w:p>
      <w:pPr>
        <w:spacing w:after="0" w:line="20" w:lineRule="exact"/>
        <w:rPr>
          <w:rFonts w:ascii="Arial" w:cs="Arial" w:eastAsia="Arial" w:hAnsi="Arial"/>
          <w:sz w:val="20"/>
          <w:szCs w:val="20"/>
          <w:color w:val="auto"/>
        </w:rPr>
      </w:pPr>
      <w:r>
        <w:rPr>
          <w:rFonts w:ascii="Arial" w:cs="Arial" w:eastAsia="Arial" w:hAnsi="Arial"/>
          <w:sz w:val="20"/>
          <w:szCs w:val="20"/>
          <w:color w:val="auto"/>
        </w:rPr>
        <mc:AlternateContent>
          <mc:Choice Requires="wps">
            <w:drawing>
              <wp:anchor simplePos="0" relativeHeight="251657728" behindDoc="1" locked="0" layoutInCell="0" allowOverlap="1">
                <wp:simplePos x="0" y="0"/>
                <wp:positionH relativeFrom="column">
                  <wp:posOffset>635000</wp:posOffset>
                </wp:positionH>
                <wp:positionV relativeFrom="paragraph">
                  <wp:posOffset>12065</wp:posOffset>
                </wp:positionV>
                <wp:extent cx="4958080"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958080" cy="4763"/>
                        </a:xfrm>
                        <a:prstGeom prst="line">
                          <a:avLst/>
                        </a:prstGeom>
                        <a:solidFill>
                          <a:srgbClr val="FFFFFF"/>
                        </a:solidFill>
                        <a:ln w="6350">
                          <a:solidFill>
                            <a:srgbClr val="10147E"/>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pt,0.95pt" to="440.4pt,0.95pt" o:allowincell="f" strokecolor="#10147E" strokeweight="0.5pt"/>
            </w:pict>
          </mc:Fallback>
        </mc:AlternateContent>
      </w:r>
    </w:p>
    <w:p>
      <w:pPr>
        <w:spacing w:after="0" w:line="37" w:lineRule="exact"/>
        <w:rPr>
          <w:rFonts w:ascii="Arial" w:cs="Arial" w:eastAsia="Arial" w:hAnsi="Arial"/>
          <w:sz w:val="20"/>
          <w:szCs w:val="20"/>
          <w:color w:val="auto"/>
        </w:rPr>
      </w:pPr>
    </w:p>
    <w:tbl>
      <w:tblPr>
        <w:tblLayout w:type="fixed"/>
        <w:tblInd w:w="1000" w:type="dxa"/>
        <w:tblCellMar>
          <w:top w:w="0" w:type="dxa"/>
          <w:left w:w="0" w:type="dxa"/>
          <w:bottom w:w="0" w:type="dxa"/>
          <w:right w:w="0" w:type="dxa"/>
        </w:tblCellMar>
      </w:tblPr>
      <w:tr>
        <w:trPr>
          <w:trHeight w:val="184"/>
        </w:trPr>
        <w:tc>
          <w:tcPr>
            <w:tcW w:w="1080" w:type="dxa"/>
            <w:vAlign w:val="bottom"/>
          </w:tcPr>
          <w:p>
            <w:pPr>
              <w:spacing w:after="0"/>
              <w:rPr>
                <w:sz w:val="16"/>
                <w:szCs w:val="16"/>
                <w:color w:val="auto"/>
              </w:rPr>
            </w:pPr>
          </w:p>
        </w:tc>
        <w:tc>
          <w:tcPr>
            <w:tcW w:w="1360" w:type="dxa"/>
            <w:vAlign w:val="bottom"/>
          </w:tcPr>
          <w:p>
            <w:pPr>
              <w:ind w:left="520"/>
              <w:spacing w:after="0"/>
              <w:rPr>
                <w:sz w:val="20"/>
                <w:szCs w:val="20"/>
                <w:color w:val="auto"/>
              </w:rPr>
            </w:pPr>
            <w:r>
              <w:rPr>
                <w:rFonts w:ascii="Arial" w:cs="Arial" w:eastAsia="Arial" w:hAnsi="Arial"/>
                <w:sz w:val="16"/>
                <w:szCs w:val="16"/>
                <w:color w:val="auto"/>
                <w:w w:val="82"/>
              </w:rPr>
              <w:t>T1(Session 1)</w:t>
            </w:r>
          </w:p>
        </w:tc>
        <w:tc>
          <w:tcPr>
            <w:tcW w:w="800" w:type="dxa"/>
            <w:vAlign w:val="bottom"/>
          </w:tcPr>
          <w:p>
            <w:pPr>
              <w:spacing w:after="0"/>
              <w:rPr>
                <w:sz w:val="16"/>
                <w:szCs w:val="16"/>
                <w:color w:val="auto"/>
              </w:rPr>
            </w:pPr>
          </w:p>
        </w:tc>
        <w:tc>
          <w:tcPr>
            <w:tcW w:w="1660" w:type="dxa"/>
            <w:vAlign w:val="bottom"/>
          </w:tcPr>
          <w:p>
            <w:pPr>
              <w:ind w:left="800"/>
              <w:spacing w:after="0"/>
              <w:rPr>
                <w:sz w:val="20"/>
                <w:szCs w:val="20"/>
                <w:color w:val="auto"/>
              </w:rPr>
            </w:pPr>
            <w:r>
              <w:rPr>
                <w:rFonts w:ascii="Arial" w:cs="Arial" w:eastAsia="Arial" w:hAnsi="Arial"/>
                <w:sz w:val="16"/>
                <w:szCs w:val="16"/>
                <w:color w:val="auto"/>
                <w:w w:val="84"/>
              </w:rPr>
              <w:t>T2(Session 2)</w:t>
            </w:r>
          </w:p>
        </w:tc>
        <w:tc>
          <w:tcPr>
            <w:tcW w:w="780" w:type="dxa"/>
            <w:vAlign w:val="bottom"/>
          </w:tcPr>
          <w:p>
            <w:pPr>
              <w:spacing w:after="0"/>
              <w:rPr>
                <w:sz w:val="16"/>
                <w:szCs w:val="16"/>
                <w:color w:val="auto"/>
              </w:rPr>
            </w:pPr>
          </w:p>
        </w:tc>
        <w:tc>
          <w:tcPr>
            <w:tcW w:w="1580" w:type="dxa"/>
            <w:vAlign w:val="bottom"/>
          </w:tcPr>
          <w:p>
            <w:pPr>
              <w:ind w:left="760"/>
              <w:spacing w:after="0"/>
              <w:rPr>
                <w:sz w:val="20"/>
                <w:szCs w:val="20"/>
                <w:color w:val="auto"/>
              </w:rPr>
            </w:pPr>
            <w:r>
              <w:rPr>
                <w:rFonts w:ascii="Arial" w:cs="Arial" w:eastAsia="Arial" w:hAnsi="Arial"/>
                <w:sz w:val="16"/>
                <w:szCs w:val="16"/>
                <w:color w:val="auto"/>
                <w:w w:val="80"/>
              </w:rPr>
              <w:t>T3(Session 3)</w:t>
            </w:r>
          </w:p>
        </w:tc>
        <w:tc>
          <w:tcPr>
            <w:tcW w:w="540" w:type="dxa"/>
            <w:vAlign w:val="bottom"/>
          </w:tcPr>
          <w:p>
            <w:pPr>
              <w:spacing w:after="0"/>
              <w:rPr>
                <w:sz w:val="16"/>
                <w:szCs w:val="16"/>
                <w:color w:val="auto"/>
              </w:rPr>
            </w:pPr>
          </w:p>
        </w:tc>
      </w:tr>
      <w:tr>
        <w:trPr>
          <w:trHeight w:val="22"/>
        </w:trPr>
        <w:tc>
          <w:tcPr>
            <w:tcW w:w="1080" w:type="dxa"/>
            <w:vAlign w:val="bottom"/>
          </w:tcPr>
          <w:p>
            <w:pPr>
              <w:spacing w:after="0" w:line="20" w:lineRule="exact"/>
              <w:rPr>
                <w:sz w:val="1"/>
                <w:szCs w:val="1"/>
                <w:color w:val="auto"/>
              </w:rPr>
            </w:pPr>
          </w:p>
        </w:tc>
        <w:tc>
          <w:tcPr>
            <w:tcW w:w="1360" w:type="dxa"/>
            <w:vAlign w:val="bottom"/>
            <w:tcBorders>
              <w:bottom w:val="single" w:sz="8" w:color="10147E"/>
            </w:tcBorders>
          </w:tcPr>
          <w:p>
            <w:pPr>
              <w:spacing w:after="0" w:line="20" w:lineRule="exact"/>
              <w:rPr>
                <w:sz w:val="1"/>
                <w:szCs w:val="1"/>
                <w:color w:val="auto"/>
              </w:rPr>
            </w:pPr>
          </w:p>
        </w:tc>
        <w:tc>
          <w:tcPr>
            <w:tcW w:w="800" w:type="dxa"/>
            <w:vAlign w:val="bottom"/>
            <w:tcBorders>
              <w:bottom w:val="single" w:sz="8" w:color="10147E"/>
            </w:tcBorders>
          </w:tcPr>
          <w:p>
            <w:pPr>
              <w:spacing w:after="0" w:line="20" w:lineRule="exact"/>
              <w:rPr>
                <w:sz w:val="1"/>
                <w:szCs w:val="1"/>
                <w:color w:val="auto"/>
              </w:rPr>
            </w:pPr>
          </w:p>
        </w:tc>
        <w:tc>
          <w:tcPr>
            <w:tcW w:w="1660" w:type="dxa"/>
            <w:vAlign w:val="bottom"/>
            <w:tcBorders>
              <w:bottom w:val="single" w:sz="8" w:color="10147E"/>
            </w:tcBorders>
          </w:tcPr>
          <w:p>
            <w:pPr>
              <w:spacing w:after="0" w:line="20" w:lineRule="exact"/>
              <w:rPr>
                <w:sz w:val="1"/>
                <w:szCs w:val="1"/>
                <w:color w:val="auto"/>
              </w:rPr>
            </w:pPr>
          </w:p>
        </w:tc>
        <w:tc>
          <w:tcPr>
            <w:tcW w:w="780" w:type="dxa"/>
            <w:vAlign w:val="bottom"/>
            <w:tcBorders>
              <w:bottom w:val="single" w:sz="8" w:color="10147E"/>
            </w:tcBorders>
          </w:tcPr>
          <w:p>
            <w:pPr>
              <w:spacing w:after="0" w:line="20" w:lineRule="exact"/>
              <w:rPr>
                <w:sz w:val="1"/>
                <w:szCs w:val="1"/>
                <w:color w:val="auto"/>
              </w:rPr>
            </w:pPr>
          </w:p>
        </w:tc>
        <w:tc>
          <w:tcPr>
            <w:tcW w:w="1580" w:type="dxa"/>
            <w:vAlign w:val="bottom"/>
            <w:tcBorders>
              <w:bottom w:val="single" w:sz="8" w:color="10147E"/>
            </w:tcBorders>
          </w:tcPr>
          <w:p>
            <w:pPr>
              <w:spacing w:after="0" w:line="20" w:lineRule="exact"/>
              <w:rPr>
                <w:sz w:val="1"/>
                <w:szCs w:val="1"/>
                <w:color w:val="auto"/>
              </w:rPr>
            </w:pPr>
          </w:p>
        </w:tc>
        <w:tc>
          <w:tcPr>
            <w:tcW w:w="540" w:type="dxa"/>
            <w:vAlign w:val="bottom"/>
            <w:tcBorders>
              <w:bottom w:val="single" w:sz="8" w:color="10147E"/>
            </w:tcBorders>
          </w:tcPr>
          <w:p>
            <w:pPr>
              <w:spacing w:after="0" w:line="20" w:lineRule="exact"/>
              <w:rPr>
                <w:sz w:val="1"/>
                <w:szCs w:val="1"/>
                <w:color w:val="auto"/>
              </w:rPr>
            </w:pPr>
          </w:p>
        </w:tc>
      </w:tr>
      <w:tr>
        <w:trPr>
          <w:trHeight w:val="212"/>
        </w:trPr>
        <w:tc>
          <w:tcPr>
            <w:tcW w:w="1080" w:type="dxa"/>
            <w:vAlign w:val="bottom"/>
          </w:tcPr>
          <w:p>
            <w:pPr>
              <w:spacing w:after="0"/>
              <w:rPr>
                <w:sz w:val="18"/>
                <w:szCs w:val="18"/>
                <w:color w:val="auto"/>
              </w:rPr>
            </w:pPr>
          </w:p>
        </w:tc>
        <w:tc>
          <w:tcPr>
            <w:tcW w:w="1360" w:type="dxa"/>
            <w:vAlign w:val="bottom"/>
          </w:tcPr>
          <w:p>
            <w:pPr>
              <w:ind w:left="220"/>
              <w:spacing w:after="0"/>
              <w:rPr>
                <w:sz w:val="20"/>
                <w:szCs w:val="20"/>
                <w:color w:val="auto"/>
              </w:rPr>
            </w:pPr>
            <w:r>
              <w:rPr>
                <w:rFonts w:ascii="Arial" w:cs="Arial" w:eastAsia="Arial" w:hAnsi="Arial"/>
                <w:sz w:val="16"/>
                <w:szCs w:val="16"/>
                <w:color w:val="auto"/>
              </w:rPr>
              <w:t>x, y, z</w:t>
            </w:r>
          </w:p>
        </w:tc>
        <w:tc>
          <w:tcPr>
            <w:tcW w:w="800" w:type="dxa"/>
            <w:vAlign w:val="bottom"/>
          </w:tcPr>
          <w:p>
            <w:pPr>
              <w:ind w:left="40"/>
              <w:spacing w:after="0"/>
              <w:rPr>
                <w:sz w:val="20"/>
                <w:szCs w:val="20"/>
                <w:color w:val="auto"/>
              </w:rPr>
            </w:pPr>
            <w:r>
              <w:rPr>
                <w:rFonts w:ascii="Arial" w:cs="Arial" w:eastAsia="Arial" w:hAnsi="Arial"/>
                <w:sz w:val="16"/>
                <w:szCs w:val="16"/>
                <w:color w:val="auto"/>
              </w:rPr>
              <w:t>T value</w:t>
            </w:r>
          </w:p>
        </w:tc>
        <w:tc>
          <w:tcPr>
            <w:tcW w:w="1660" w:type="dxa"/>
            <w:vAlign w:val="bottom"/>
          </w:tcPr>
          <w:p>
            <w:pPr>
              <w:ind w:left="520"/>
              <w:spacing w:after="0"/>
              <w:rPr>
                <w:sz w:val="20"/>
                <w:szCs w:val="20"/>
                <w:color w:val="auto"/>
              </w:rPr>
            </w:pPr>
            <w:r>
              <w:rPr>
                <w:rFonts w:ascii="Arial" w:cs="Arial" w:eastAsia="Arial" w:hAnsi="Arial"/>
                <w:sz w:val="16"/>
                <w:szCs w:val="16"/>
                <w:color w:val="auto"/>
              </w:rPr>
              <w:t>x, y, z</w:t>
            </w:r>
          </w:p>
        </w:tc>
        <w:tc>
          <w:tcPr>
            <w:tcW w:w="780" w:type="dxa"/>
            <w:vAlign w:val="bottom"/>
          </w:tcPr>
          <w:p>
            <w:pPr>
              <w:jc w:val="center"/>
              <w:ind w:right="200"/>
              <w:spacing w:after="0"/>
              <w:rPr>
                <w:sz w:val="20"/>
                <w:szCs w:val="20"/>
                <w:color w:val="auto"/>
              </w:rPr>
            </w:pPr>
            <w:r>
              <w:rPr>
                <w:rFonts w:ascii="Arial" w:cs="Arial" w:eastAsia="Arial" w:hAnsi="Arial"/>
                <w:sz w:val="16"/>
                <w:szCs w:val="16"/>
                <w:color w:val="auto"/>
                <w:w w:val="87"/>
              </w:rPr>
              <w:t>T value</w:t>
            </w:r>
          </w:p>
        </w:tc>
        <w:tc>
          <w:tcPr>
            <w:tcW w:w="1580" w:type="dxa"/>
            <w:vAlign w:val="bottom"/>
          </w:tcPr>
          <w:p>
            <w:pPr>
              <w:jc w:val="center"/>
              <w:ind w:right="200"/>
              <w:spacing w:after="0"/>
              <w:rPr>
                <w:sz w:val="20"/>
                <w:szCs w:val="20"/>
                <w:color w:val="auto"/>
              </w:rPr>
            </w:pPr>
            <w:r>
              <w:rPr>
                <w:rFonts w:ascii="Arial" w:cs="Arial" w:eastAsia="Arial" w:hAnsi="Arial"/>
                <w:sz w:val="16"/>
                <w:szCs w:val="16"/>
                <w:color w:val="auto"/>
                <w:w w:val="81"/>
              </w:rPr>
              <w:t>x, y, z</w:t>
            </w:r>
          </w:p>
        </w:tc>
        <w:tc>
          <w:tcPr>
            <w:tcW w:w="540" w:type="dxa"/>
            <w:vAlign w:val="bottom"/>
          </w:tcPr>
          <w:p>
            <w:pPr>
              <w:jc w:val="center"/>
              <w:spacing w:after="0"/>
              <w:rPr>
                <w:sz w:val="20"/>
                <w:szCs w:val="20"/>
                <w:color w:val="auto"/>
              </w:rPr>
            </w:pPr>
            <w:r>
              <w:rPr>
                <w:rFonts w:ascii="Arial" w:cs="Arial" w:eastAsia="Arial" w:hAnsi="Arial"/>
                <w:sz w:val="16"/>
                <w:szCs w:val="16"/>
                <w:color w:val="auto"/>
                <w:w w:val="83"/>
              </w:rPr>
              <w:t>T value</w:t>
            </w:r>
          </w:p>
        </w:tc>
      </w:tr>
      <w:tr>
        <w:trPr>
          <w:trHeight w:val="22"/>
        </w:trPr>
        <w:tc>
          <w:tcPr>
            <w:tcW w:w="1080" w:type="dxa"/>
            <w:vAlign w:val="bottom"/>
            <w:tcBorders>
              <w:bottom w:val="single" w:sz="8" w:color="10147E"/>
            </w:tcBorders>
          </w:tcPr>
          <w:p>
            <w:pPr>
              <w:spacing w:after="0" w:line="20" w:lineRule="exact"/>
              <w:rPr>
                <w:sz w:val="1"/>
                <w:szCs w:val="1"/>
                <w:color w:val="auto"/>
              </w:rPr>
            </w:pPr>
          </w:p>
        </w:tc>
        <w:tc>
          <w:tcPr>
            <w:tcW w:w="1360" w:type="dxa"/>
            <w:vAlign w:val="bottom"/>
            <w:tcBorders>
              <w:bottom w:val="single" w:sz="8" w:color="10147E"/>
            </w:tcBorders>
          </w:tcPr>
          <w:p>
            <w:pPr>
              <w:spacing w:after="0" w:line="20" w:lineRule="exact"/>
              <w:rPr>
                <w:sz w:val="1"/>
                <w:szCs w:val="1"/>
                <w:color w:val="auto"/>
              </w:rPr>
            </w:pPr>
          </w:p>
        </w:tc>
        <w:tc>
          <w:tcPr>
            <w:tcW w:w="800" w:type="dxa"/>
            <w:vAlign w:val="bottom"/>
            <w:tcBorders>
              <w:bottom w:val="single" w:sz="8" w:color="10147E"/>
            </w:tcBorders>
          </w:tcPr>
          <w:p>
            <w:pPr>
              <w:spacing w:after="0" w:line="20" w:lineRule="exact"/>
              <w:rPr>
                <w:sz w:val="1"/>
                <w:szCs w:val="1"/>
                <w:color w:val="auto"/>
              </w:rPr>
            </w:pPr>
          </w:p>
        </w:tc>
        <w:tc>
          <w:tcPr>
            <w:tcW w:w="1660" w:type="dxa"/>
            <w:vAlign w:val="bottom"/>
            <w:tcBorders>
              <w:bottom w:val="single" w:sz="8" w:color="10147E"/>
            </w:tcBorders>
          </w:tcPr>
          <w:p>
            <w:pPr>
              <w:spacing w:after="0" w:line="20" w:lineRule="exact"/>
              <w:rPr>
                <w:sz w:val="1"/>
                <w:szCs w:val="1"/>
                <w:color w:val="auto"/>
              </w:rPr>
            </w:pPr>
          </w:p>
        </w:tc>
        <w:tc>
          <w:tcPr>
            <w:tcW w:w="780" w:type="dxa"/>
            <w:vAlign w:val="bottom"/>
            <w:tcBorders>
              <w:bottom w:val="single" w:sz="8" w:color="10147E"/>
            </w:tcBorders>
          </w:tcPr>
          <w:p>
            <w:pPr>
              <w:spacing w:after="0" w:line="20" w:lineRule="exact"/>
              <w:rPr>
                <w:sz w:val="1"/>
                <w:szCs w:val="1"/>
                <w:color w:val="auto"/>
              </w:rPr>
            </w:pPr>
          </w:p>
        </w:tc>
        <w:tc>
          <w:tcPr>
            <w:tcW w:w="1580" w:type="dxa"/>
            <w:vAlign w:val="bottom"/>
            <w:tcBorders>
              <w:bottom w:val="single" w:sz="8" w:color="10147E"/>
            </w:tcBorders>
          </w:tcPr>
          <w:p>
            <w:pPr>
              <w:spacing w:after="0" w:line="20" w:lineRule="exact"/>
              <w:rPr>
                <w:sz w:val="1"/>
                <w:szCs w:val="1"/>
                <w:color w:val="auto"/>
              </w:rPr>
            </w:pPr>
          </w:p>
        </w:tc>
        <w:tc>
          <w:tcPr>
            <w:tcW w:w="540" w:type="dxa"/>
            <w:vAlign w:val="bottom"/>
            <w:tcBorders>
              <w:bottom w:val="single" w:sz="8" w:color="10147E"/>
            </w:tcBorders>
          </w:tcPr>
          <w:p>
            <w:pPr>
              <w:spacing w:after="0" w:line="20" w:lineRule="exact"/>
              <w:rPr>
                <w:sz w:val="1"/>
                <w:szCs w:val="1"/>
                <w:color w:val="auto"/>
              </w:rPr>
            </w:pPr>
          </w:p>
        </w:tc>
      </w:tr>
      <w:tr>
        <w:trPr>
          <w:trHeight w:val="198"/>
        </w:trPr>
        <w:tc>
          <w:tcPr>
            <w:tcW w:w="1080" w:type="dxa"/>
            <w:vAlign w:val="bottom"/>
          </w:tcPr>
          <w:p>
            <w:pPr>
              <w:ind w:left="80"/>
              <w:spacing w:after="0" w:line="198" w:lineRule="exact"/>
              <w:rPr>
                <w:sz w:val="20"/>
                <w:szCs w:val="20"/>
                <w:color w:val="auto"/>
              </w:rPr>
            </w:pPr>
            <w:r>
              <w:rPr>
                <w:rFonts w:ascii="Arial" w:cs="Arial" w:eastAsia="Arial" w:hAnsi="Arial"/>
                <w:sz w:val="16"/>
                <w:szCs w:val="16"/>
                <w:color w:val="auto"/>
              </w:rPr>
              <w:t>S1M1</w:t>
            </w:r>
            <w:r>
              <w:rPr>
                <w:rFonts w:ascii="Arial" w:cs="Arial" w:eastAsia="Arial" w:hAnsi="Arial"/>
                <w:sz w:val="21"/>
                <w:szCs w:val="21"/>
                <w:color w:val="auto"/>
                <w:vertAlign w:val="subscript"/>
              </w:rPr>
              <w:t>a</w:t>
            </w:r>
          </w:p>
        </w:tc>
        <w:tc>
          <w:tcPr>
            <w:tcW w:w="1360" w:type="dxa"/>
            <w:vAlign w:val="bottom"/>
          </w:tcPr>
          <w:p>
            <w:pPr>
              <w:jc w:val="center"/>
              <w:ind w:right="480"/>
              <w:spacing w:after="0"/>
              <w:rPr>
                <w:sz w:val="20"/>
                <w:szCs w:val="20"/>
                <w:color w:val="auto"/>
              </w:rPr>
            </w:pPr>
            <w:r>
              <w:rPr>
                <w:rFonts w:ascii="Arial" w:cs="Arial" w:eastAsia="Arial" w:hAnsi="Arial"/>
                <w:sz w:val="16"/>
                <w:szCs w:val="16"/>
                <w:color w:val="auto"/>
                <w:w w:val="88"/>
              </w:rPr>
              <w:t>−45, −33, 66</w:t>
            </w:r>
          </w:p>
        </w:tc>
        <w:tc>
          <w:tcPr>
            <w:tcW w:w="800" w:type="dxa"/>
            <w:vAlign w:val="bottom"/>
          </w:tcPr>
          <w:p>
            <w:pPr>
              <w:ind w:left="140"/>
              <w:spacing w:after="0"/>
              <w:rPr>
                <w:sz w:val="20"/>
                <w:szCs w:val="20"/>
                <w:color w:val="auto"/>
              </w:rPr>
            </w:pPr>
            <w:r>
              <w:rPr>
                <w:rFonts w:ascii="Arial" w:cs="Arial" w:eastAsia="Arial" w:hAnsi="Arial"/>
                <w:sz w:val="16"/>
                <w:szCs w:val="16"/>
                <w:color w:val="auto"/>
              </w:rPr>
              <w:t>7.25</w:t>
            </w:r>
          </w:p>
        </w:tc>
        <w:tc>
          <w:tcPr>
            <w:tcW w:w="1660" w:type="dxa"/>
            <w:vAlign w:val="bottom"/>
          </w:tcPr>
          <w:p>
            <w:pPr>
              <w:jc w:val="center"/>
              <w:ind w:right="200"/>
              <w:spacing w:after="0"/>
              <w:rPr>
                <w:sz w:val="20"/>
                <w:szCs w:val="20"/>
                <w:color w:val="auto"/>
              </w:rPr>
            </w:pPr>
            <w:r>
              <w:rPr>
                <w:rFonts w:ascii="Arial" w:cs="Arial" w:eastAsia="Arial" w:hAnsi="Arial"/>
                <w:sz w:val="16"/>
                <w:szCs w:val="16"/>
                <w:color w:val="auto"/>
                <w:w w:val="91"/>
              </w:rPr>
              <w:t>−24, −42, 69</w:t>
            </w:r>
          </w:p>
        </w:tc>
        <w:tc>
          <w:tcPr>
            <w:tcW w:w="780" w:type="dxa"/>
            <w:vAlign w:val="bottom"/>
          </w:tcPr>
          <w:p>
            <w:pPr>
              <w:jc w:val="center"/>
              <w:ind w:right="200"/>
              <w:spacing w:after="0"/>
              <w:rPr>
                <w:sz w:val="20"/>
                <w:szCs w:val="20"/>
                <w:color w:val="auto"/>
              </w:rPr>
            </w:pPr>
            <w:r>
              <w:rPr>
                <w:rFonts w:ascii="Arial" w:cs="Arial" w:eastAsia="Arial" w:hAnsi="Arial"/>
                <w:sz w:val="16"/>
                <w:szCs w:val="16"/>
                <w:color w:val="auto"/>
                <w:w w:val="83"/>
              </w:rPr>
              <w:t>5.75</w:t>
            </w:r>
          </w:p>
        </w:tc>
        <w:tc>
          <w:tcPr>
            <w:tcW w:w="1580" w:type="dxa"/>
            <w:vAlign w:val="bottom"/>
          </w:tcPr>
          <w:p>
            <w:pPr>
              <w:spacing w:after="0"/>
              <w:rPr>
                <w:sz w:val="17"/>
                <w:szCs w:val="17"/>
                <w:color w:val="auto"/>
              </w:rPr>
            </w:pPr>
          </w:p>
        </w:tc>
        <w:tc>
          <w:tcPr>
            <w:tcW w:w="540" w:type="dxa"/>
            <w:vAlign w:val="bottom"/>
          </w:tcPr>
          <w:p>
            <w:pPr>
              <w:spacing w:after="0"/>
              <w:rPr>
                <w:sz w:val="17"/>
                <w:szCs w:val="17"/>
                <w:color w:val="auto"/>
              </w:rPr>
            </w:pPr>
          </w:p>
        </w:tc>
      </w:tr>
      <w:tr>
        <w:trPr>
          <w:trHeight w:val="180"/>
        </w:trPr>
        <w:tc>
          <w:tcPr>
            <w:tcW w:w="1080" w:type="dxa"/>
            <w:vAlign w:val="bottom"/>
          </w:tcPr>
          <w:p>
            <w:pPr>
              <w:ind w:left="80"/>
              <w:spacing w:after="0" w:line="181" w:lineRule="exact"/>
              <w:rPr>
                <w:sz w:val="20"/>
                <w:szCs w:val="20"/>
                <w:color w:val="auto"/>
              </w:rPr>
            </w:pPr>
            <w:r>
              <w:rPr>
                <w:rFonts w:ascii="Arial" w:cs="Arial" w:eastAsia="Arial" w:hAnsi="Arial"/>
                <w:sz w:val="15"/>
                <w:szCs w:val="15"/>
                <w:color w:val="auto"/>
              </w:rPr>
              <w:t>S1M1</w:t>
            </w:r>
            <w:r>
              <w:rPr>
                <w:rFonts w:ascii="Arial" w:cs="Arial" w:eastAsia="Arial" w:hAnsi="Arial"/>
                <w:sz w:val="20"/>
                <w:szCs w:val="20"/>
                <w:color w:val="auto"/>
                <w:vertAlign w:val="subscript"/>
              </w:rPr>
              <w:t>b</w:t>
            </w:r>
          </w:p>
        </w:tc>
        <w:tc>
          <w:tcPr>
            <w:tcW w:w="1360" w:type="dxa"/>
            <w:vAlign w:val="bottom"/>
          </w:tcPr>
          <w:p>
            <w:pPr>
              <w:jc w:val="center"/>
              <w:ind w:right="460"/>
              <w:spacing w:after="0" w:line="178" w:lineRule="exact"/>
              <w:rPr>
                <w:sz w:val="20"/>
                <w:szCs w:val="20"/>
                <w:color w:val="auto"/>
              </w:rPr>
            </w:pPr>
            <w:r>
              <w:rPr>
                <w:rFonts w:ascii="Arial" w:cs="Arial" w:eastAsia="Arial" w:hAnsi="Arial"/>
                <w:sz w:val="16"/>
                <w:szCs w:val="16"/>
                <w:color w:val="auto"/>
                <w:w w:val="86"/>
              </w:rPr>
              <w:t>39, −24, 66</w:t>
            </w:r>
          </w:p>
        </w:tc>
        <w:tc>
          <w:tcPr>
            <w:tcW w:w="800" w:type="dxa"/>
            <w:vAlign w:val="bottom"/>
          </w:tcPr>
          <w:p>
            <w:pPr>
              <w:ind w:left="140"/>
              <w:spacing w:after="0" w:line="178" w:lineRule="exact"/>
              <w:rPr>
                <w:sz w:val="20"/>
                <w:szCs w:val="20"/>
                <w:color w:val="auto"/>
              </w:rPr>
            </w:pPr>
            <w:r>
              <w:rPr>
                <w:rFonts w:ascii="Arial" w:cs="Arial" w:eastAsia="Arial" w:hAnsi="Arial"/>
                <w:sz w:val="16"/>
                <w:szCs w:val="16"/>
                <w:color w:val="auto"/>
              </w:rPr>
              <w:t>8.95</w:t>
            </w:r>
          </w:p>
        </w:tc>
        <w:tc>
          <w:tcPr>
            <w:tcW w:w="1660" w:type="dxa"/>
            <w:vAlign w:val="bottom"/>
          </w:tcPr>
          <w:p>
            <w:pPr>
              <w:jc w:val="center"/>
              <w:ind w:right="200"/>
              <w:spacing w:after="0" w:line="178" w:lineRule="exact"/>
              <w:rPr>
                <w:sz w:val="20"/>
                <w:szCs w:val="20"/>
                <w:color w:val="auto"/>
              </w:rPr>
            </w:pPr>
            <w:r>
              <w:rPr>
                <w:rFonts w:ascii="Arial" w:cs="Arial" w:eastAsia="Arial" w:hAnsi="Arial"/>
                <w:sz w:val="16"/>
                <w:szCs w:val="16"/>
                <w:color w:val="auto"/>
                <w:w w:val="86"/>
              </w:rPr>
              <w:t>36, −27, 69</w:t>
            </w:r>
          </w:p>
        </w:tc>
        <w:tc>
          <w:tcPr>
            <w:tcW w:w="780" w:type="dxa"/>
            <w:vAlign w:val="bottom"/>
          </w:tcPr>
          <w:p>
            <w:pPr>
              <w:jc w:val="center"/>
              <w:ind w:right="200"/>
              <w:spacing w:after="0" w:line="178" w:lineRule="exact"/>
              <w:rPr>
                <w:sz w:val="20"/>
                <w:szCs w:val="20"/>
                <w:color w:val="auto"/>
              </w:rPr>
            </w:pPr>
            <w:r>
              <w:rPr>
                <w:rFonts w:ascii="Arial" w:cs="Arial" w:eastAsia="Arial" w:hAnsi="Arial"/>
                <w:sz w:val="16"/>
                <w:szCs w:val="16"/>
                <w:color w:val="auto"/>
                <w:w w:val="83"/>
              </w:rPr>
              <w:t>9.91</w:t>
            </w:r>
          </w:p>
        </w:tc>
        <w:tc>
          <w:tcPr>
            <w:tcW w:w="1580" w:type="dxa"/>
            <w:vAlign w:val="bottom"/>
          </w:tcPr>
          <w:p>
            <w:pPr>
              <w:jc w:val="center"/>
              <w:ind w:right="200"/>
              <w:spacing w:after="0" w:line="178" w:lineRule="exact"/>
              <w:rPr>
                <w:sz w:val="20"/>
                <w:szCs w:val="20"/>
                <w:color w:val="auto"/>
              </w:rPr>
            </w:pPr>
            <w:r>
              <w:rPr>
                <w:rFonts w:ascii="Arial" w:cs="Arial" w:eastAsia="Arial" w:hAnsi="Arial"/>
                <w:sz w:val="16"/>
                <w:szCs w:val="16"/>
                <w:color w:val="auto"/>
                <w:w w:val="86"/>
              </w:rPr>
              <w:t>42, −39, 63</w:t>
            </w:r>
          </w:p>
        </w:tc>
        <w:tc>
          <w:tcPr>
            <w:tcW w:w="540" w:type="dxa"/>
            <w:vAlign w:val="bottom"/>
          </w:tcPr>
          <w:p>
            <w:pPr>
              <w:jc w:val="right"/>
              <w:ind w:right="80"/>
              <w:spacing w:after="0" w:line="178" w:lineRule="exact"/>
              <w:rPr>
                <w:sz w:val="20"/>
                <w:szCs w:val="20"/>
                <w:color w:val="auto"/>
              </w:rPr>
            </w:pPr>
            <w:r>
              <w:rPr>
                <w:rFonts w:ascii="Arial" w:cs="Arial" w:eastAsia="Arial" w:hAnsi="Arial"/>
                <w:sz w:val="16"/>
                <w:szCs w:val="16"/>
                <w:color w:val="auto"/>
              </w:rPr>
              <w:t>9.94</w:t>
            </w:r>
          </w:p>
        </w:tc>
      </w:tr>
      <w:tr>
        <w:trPr>
          <w:trHeight w:val="179"/>
        </w:trPr>
        <w:tc>
          <w:tcPr>
            <w:tcW w:w="1080" w:type="dxa"/>
            <w:vAlign w:val="bottom"/>
          </w:tcPr>
          <w:p>
            <w:pPr>
              <w:ind w:left="80"/>
              <w:spacing w:after="0" w:line="179" w:lineRule="exact"/>
              <w:rPr>
                <w:sz w:val="20"/>
                <w:szCs w:val="20"/>
                <w:color w:val="auto"/>
              </w:rPr>
            </w:pPr>
            <w:r>
              <w:rPr>
                <w:rFonts w:ascii="Arial" w:cs="Arial" w:eastAsia="Arial" w:hAnsi="Arial"/>
                <w:sz w:val="15"/>
                <w:szCs w:val="15"/>
                <w:color w:val="auto"/>
              </w:rPr>
              <w:t>SMA</w:t>
            </w:r>
            <w:r>
              <w:rPr>
                <w:rFonts w:ascii="Arial" w:cs="Arial" w:eastAsia="Arial" w:hAnsi="Arial"/>
                <w:sz w:val="20"/>
                <w:szCs w:val="20"/>
                <w:color w:val="auto"/>
                <w:vertAlign w:val="subscript"/>
              </w:rPr>
              <w:t>b</w:t>
            </w:r>
          </w:p>
        </w:tc>
        <w:tc>
          <w:tcPr>
            <w:tcW w:w="1360" w:type="dxa"/>
            <w:vAlign w:val="bottom"/>
          </w:tcPr>
          <w:p>
            <w:pPr>
              <w:jc w:val="center"/>
              <w:ind w:right="460"/>
              <w:spacing w:after="0" w:line="178" w:lineRule="exact"/>
              <w:rPr>
                <w:sz w:val="20"/>
                <w:szCs w:val="20"/>
                <w:color w:val="auto"/>
              </w:rPr>
            </w:pPr>
            <w:r>
              <w:rPr>
                <w:rFonts w:ascii="Arial" w:cs="Arial" w:eastAsia="Arial" w:hAnsi="Arial"/>
                <w:sz w:val="16"/>
                <w:szCs w:val="16"/>
                <w:color w:val="auto"/>
                <w:w w:val="86"/>
              </w:rPr>
              <w:t>27, −18, 60</w:t>
            </w:r>
          </w:p>
        </w:tc>
        <w:tc>
          <w:tcPr>
            <w:tcW w:w="800" w:type="dxa"/>
            <w:vAlign w:val="bottom"/>
          </w:tcPr>
          <w:p>
            <w:pPr>
              <w:ind w:left="140"/>
              <w:spacing w:after="0" w:line="178" w:lineRule="exact"/>
              <w:rPr>
                <w:sz w:val="20"/>
                <w:szCs w:val="20"/>
                <w:color w:val="auto"/>
              </w:rPr>
            </w:pPr>
            <w:r>
              <w:rPr>
                <w:rFonts w:ascii="Arial" w:cs="Arial" w:eastAsia="Arial" w:hAnsi="Arial"/>
                <w:sz w:val="16"/>
                <w:szCs w:val="16"/>
                <w:color w:val="auto"/>
              </w:rPr>
              <w:t>3.7</w:t>
            </w:r>
          </w:p>
        </w:tc>
        <w:tc>
          <w:tcPr>
            <w:tcW w:w="1660" w:type="dxa"/>
            <w:vAlign w:val="bottom"/>
          </w:tcPr>
          <w:p>
            <w:pPr>
              <w:jc w:val="center"/>
              <w:ind w:right="200"/>
              <w:spacing w:after="0" w:line="178" w:lineRule="exact"/>
              <w:rPr>
                <w:sz w:val="20"/>
                <w:szCs w:val="20"/>
                <w:color w:val="auto"/>
              </w:rPr>
            </w:pPr>
            <w:r>
              <w:rPr>
                <w:rFonts w:ascii="Arial" w:cs="Arial" w:eastAsia="Arial" w:hAnsi="Arial"/>
                <w:sz w:val="16"/>
                <w:szCs w:val="16"/>
                <w:color w:val="auto"/>
                <w:w w:val="87"/>
              </w:rPr>
              <w:t>12, 30, 48</w:t>
            </w:r>
          </w:p>
        </w:tc>
        <w:tc>
          <w:tcPr>
            <w:tcW w:w="780" w:type="dxa"/>
            <w:vAlign w:val="bottom"/>
          </w:tcPr>
          <w:p>
            <w:pPr>
              <w:jc w:val="center"/>
              <w:ind w:right="200"/>
              <w:spacing w:after="0" w:line="178" w:lineRule="exact"/>
              <w:rPr>
                <w:sz w:val="20"/>
                <w:szCs w:val="20"/>
                <w:color w:val="auto"/>
              </w:rPr>
            </w:pPr>
            <w:r>
              <w:rPr>
                <w:rFonts w:ascii="Arial" w:cs="Arial" w:eastAsia="Arial" w:hAnsi="Arial"/>
                <w:sz w:val="16"/>
                <w:szCs w:val="16"/>
                <w:color w:val="auto"/>
                <w:w w:val="83"/>
              </w:rPr>
              <w:t>4.17</w:t>
            </w:r>
          </w:p>
        </w:tc>
        <w:tc>
          <w:tcPr>
            <w:tcW w:w="1580" w:type="dxa"/>
            <w:vAlign w:val="bottom"/>
          </w:tcPr>
          <w:p>
            <w:pPr>
              <w:spacing w:after="0"/>
              <w:rPr>
                <w:sz w:val="15"/>
                <w:szCs w:val="15"/>
                <w:color w:val="auto"/>
              </w:rPr>
            </w:pPr>
          </w:p>
        </w:tc>
        <w:tc>
          <w:tcPr>
            <w:tcW w:w="540" w:type="dxa"/>
            <w:vAlign w:val="bottom"/>
          </w:tcPr>
          <w:p>
            <w:pPr>
              <w:spacing w:after="0"/>
              <w:rPr>
                <w:sz w:val="15"/>
                <w:szCs w:val="15"/>
                <w:color w:val="auto"/>
              </w:rPr>
            </w:pPr>
          </w:p>
        </w:tc>
      </w:tr>
      <w:tr>
        <w:trPr>
          <w:trHeight w:val="198"/>
        </w:trPr>
        <w:tc>
          <w:tcPr>
            <w:tcW w:w="1080" w:type="dxa"/>
            <w:vAlign w:val="bottom"/>
            <w:tcBorders>
              <w:bottom w:val="single" w:sz="8" w:color="10147E"/>
            </w:tcBorders>
          </w:tcPr>
          <w:p>
            <w:pPr>
              <w:ind w:left="80"/>
              <w:spacing w:after="0" w:line="198" w:lineRule="exact"/>
              <w:rPr>
                <w:sz w:val="20"/>
                <w:szCs w:val="20"/>
                <w:color w:val="auto"/>
              </w:rPr>
            </w:pPr>
            <w:r>
              <w:rPr>
                <w:rFonts w:ascii="Arial" w:cs="Arial" w:eastAsia="Arial" w:hAnsi="Arial"/>
                <w:sz w:val="16"/>
                <w:szCs w:val="16"/>
                <w:color w:val="auto"/>
              </w:rPr>
              <w:t>PMC</w:t>
            </w:r>
            <w:r>
              <w:rPr>
                <w:rFonts w:ascii="Arial" w:cs="Arial" w:eastAsia="Arial" w:hAnsi="Arial"/>
                <w:sz w:val="21"/>
                <w:szCs w:val="21"/>
                <w:color w:val="auto"/>
                <w:vertAlign w:val="subscript"/>
              </w:rPr>
              <w:t>b</w:t>
            </w:r>
          </w:p>
        </w:tc>
        <w:tc>
          <w:tcPr>
            <w:tcW w:w="1360" w:type="dxa"/>
            <w:vAlign w:val="bottom"/>
            <w:tcBorders>
              <w:bottom w:val="single" w:sz="8" w:color="10147E"/>
            </w:tcBorders>
          </w:tcPr>
          <w:p>
            <w:pPr>
              <w:jc w:val="center"/>
              <w:ind w:right="460"/>
              <w:spacing w:after="0" w:line="178" w:lineRule="exact"/>
              <w:rPr>
                <w:sz w:val="20"/>
                <w:szCs w:val="20"/>
                <w:color w:val="auto"/>
              </w:rPr>
            </w:pPr>
            <w:r>
              <w:rPr>
                <w:rFonts w:ascii="Arial" w:cs="Arial" w:eastAsia="Arial" w:hAnsi="Arial"/>
                <w:sz w:val="16"/>
                <w:szCs w:val="16"/>
                <w:color w:val="auto"/>
                <w:w w:val="86"/>
              </w:rPr>
              <w:t>8, 3, 68</w:t>
            </w:r>
          </w:p>
        </w:tc>
        <w:tc>
          <w:tcPr>
            <w:tcW w:w="800" w:type="dxa"/>
            <w:vAlign w:val="bottom"/>
            <w:tcBorders>
              <w:bottom w:val="single" w:sz="8" w:color="10147E"/>
            </w:tcBorders>
          </w:tcPr>
          <w:p>
            <w:pPr>
              <w:ind w:left="140"/>
              <w:spacing w:after="0" w:line="178" w:lineRule="exact"/>
              <w:rPr>
                <w:sz w:val="20"/>
                <w:szCs w:val="20"/>
                <w:color w:val="auto"/>
              </w:rPr>
            </w:pPr>
            <w:r>
              <w:rPr>
                <w:rFonts w:ascii="Arial" w:cs="Arial" w:eastAsia="Arial" w:hAnsi="Arial"/>
                <w:sz w:val="16"/>
                <w:szCs w:val="16"/>
                <w:color w:val="auto"/>
              </w:rPr>
              <w:t>4.8</w:t>
            </w:r>
          </w:p>
        </w:tc>
        <w:tc>
          <w:tcPr>
            <w:tcW w:w="1660" w:type="dxa"/>
            <w:vAlign w:val="bottom"/>
            <w:tcBorders>
              <w:bottom w:val="single" w:sz="8" w:color="10147E"/>
            </w:tcBorders>
          </w:tcPr>
          <w:p>
            <w:pPr>
              <w:jc w:val="center"/>
              <w:ind w:right="200"/>
              <w:spacing w:after="0" w:line="178" w:lineRule="exact"/>
              <w:rPr>
                <w:sz w:val="20"/>
                <w:szCs w:val="20"/>
                <w:color w:val="auto"/>
              </w:rPr>
            </w:pPr>
            <w:r>
              <w:rPr>
                <w:rFonts w:ascii="Arial" w:cs="Arial" w:eastAsia="Arial" w:hAnsi="Arial"/>
                <w:sz w:val="16"/>
                <w:szCs w:val="16"/>
                <w:color w:val="auto"/>
                <w:w w:val="86"/>
              </w:rPr>
              <w:t>9, 0, 75</w:t>
            </w:r>
          </w:p>
        </w:tc>
        <w:tc>
          <w:tcPr>
            <w:tcW w:w="780" w:type="dxa"/>
            <w:vAlign w:val="bottom"/>
            <w:tcBorders>
              <w:bottom w:val="single" w:sz="8" w:color="10147E"/>
            </w:tcBorders>
          </w:tcPr>
          <w:p>
            <w:pPr>
              <w:jc w:val="center"/>
              <w:ind w:right="200"/>
              <w:spacing w:after="0" w:line="178" w:lineRule="exact"/>
              <w:rPr>
                <w:sz w:val="20"/>
                <w:szCs w:val="20"/>
                <w:color w:val="auto"/>
              </w:rPr>
            </w:pPr>
            <w:r>
              <w:rPr>
                <w:rFonts w:ascii="Arial" w:cs="Arial" w:eastAsia="Arial" w:hAnsi="Arial"/>
                <w:sz w:val="16"/>
                <w:szCs w:val="16"/>
                <w:color w:val="auto"/>
                <w:w w:val="83"/>
              </w:rPr>
              <w:t>5.99</w:t>
            </w:r>
          </w:p>
        </w:tc>
        <w:tc>
          <w:tcPr>
            <w:tcW w:w="1580" w:type="dxa"/>
            <w:vAlign w:val="bottom"/>
            <w:tcBorders>
              <w:bottom w:val="single" w:sz="8" w:color="10147E"/>
            </w:tcBorders>
          </w:tcPr>
          <w:p>
            <w:pPr>
              <w:spacing w:after="0"/>
              <w:rPr>
                <w:sz w:val="17"/>
                <w:szCs w:val="17"/>
                <w:color w:val="auto"/>
              </w:rPr>
            </w:pPr>
          </w:p>
        </w:tc>
        <w:tc>
          <w:tcPr>
            <w:tcW w:w="540" w:type="dxa"/>
            <w:vAlign w:val="bottom"/>
            <w:tcBorders>
              <w:bottom w:val="single" w:sz="8" w:color="10147E"/>
            </w:tcBorders>
          </w:tcPr>
          <w:p>
            <w:pPr>
              <w:spacing w:after="0"/>
              <w:rPr>
                <w:sz w:val="17"/>
                <w:szCs w:val="17"/>
                <w:color w:val="auto"/>
              </w:rPr>
            </w:pPr>
          </w:p>
        </w:tc>
      </w:tr>
    </w:tbl>
    <w:p>
      <w:pPr>
        <w:spacing w:after="0" w:line="34" w:lineRule="exact"/>
        <w:rPr>
          <w:rFonts w:ascii="Arial" w:cs="Arial" w:eastAsia="Arial" w:hAnsi="Arial"/>
          <w:sz w:val="20"/>
          <w:szCs w:val="20"/>
          <w:color w:val="auto"/>
        </w:rPr>
      </w:pPr>
    </w:p>
    <w:p>
      <w:pPr>
        <w:ind w:left="1000"/>
        <w:spacing w:after="0"/>
        <w:rPr>
          <w:sz w:val="20"/>
          <w:szCs w:val="20"/>
          <w:color w:val="auto"/>
        </w:rPr>
      </w:pPr>
      <w:r>
        <w:rPr>
          <w:rFonts w:ascii="Arial" w:cs="Arial" w:eastAsia="Arial" w:hAnsi="Arial"/>
          <w:sz w:val="16"/>
          <w:szCs w:val="16"/>
          <w:color w:val="auto"/>
        </w:rPr>
        <w:t>Note: A: Ipsilateral brain regions relative to the moving hand</w:t>
      </w:r>
    </w:p>
    <w:p>
      <w:pPr>
        <w:ind w:left="1360"/>
        <w:spacing w:after="0" w:line="235" w:lineRule="auto"/>
        <w:rPr>
          <w:sz w:val="20"/>
          <w:szCs w:val="20"/>
          <w:color w:val="auto"/>
        </w:rPr>
      </w:pPr>
      <w:r>
        <w:rPr>
          <w:rFonts w:ascii="Arial" w:cs="Arial" w:eastAsia="Arial" w:hAnsi="Arial"/>
          <w:sz w:val="16"/>
          <w:szCs w:val="16"/>
          <w:color w:val="auto"/>
        </w:rPr>
        <w:t>b: Contralateral brain regions relative to the moving hand</w:t>
      </w:r>
    </w:p>
    <w:p>
      <w:pPr>
        <w:sectPr>
          <w:pgSz w:w="11880" w:h="15840" w:orient="portrait"/>
          <w:cols w:equalWidth="0" w:num="1">
            <w:col w:w="9840"/>
          </w:cols>
          <w:pgMar w:left="1020" w:top="472" w:right="1019" w:bottom="669" w:gutter="0" w:footer="0" w:header="0"/>
          <w:type w:val="continuous"/>
        </w:sectPr>
      </w:pPr>
    </w:p>
    <w:bookmarkStart w:id="9" w:name="page10"/>
    <w:bookmarkEnd w:id="9"/>
    <w:tbl>
      <w:tblPr>
        <w:tblLayout w:type="fixed"/>
        <w:tblInd w:w="6900" w:type="dxa"/>
        <w:tblCellMar>
          <w:top w:w="0" w:type="dxa"/>
          <w:left w:w="0" w:type="dxa"/>
          <w:bottom w:w="0" w:type="dxa"/>
          <w:right w:w="0" w:type="dxa"/>
        </w:tblCellMar>
      </w:tblPr>
      <w:tr>
        <w:trPr>
          <w:trHeight w:val="178"/>
        </w:trPr>
        <w:tc>
          <w:tcPr>
            <w:tcW w:w="2600" w:type="dxa"/>
            <w:vAlign w:val="bottom"/>
          </w:tcPr>
          <w:p>
            <w:pPr>
              <w:spacing w:after="0"/>
              <w:rPr>
                <w:sz w:val="20"/>
                <w:szCs w:val="20"/>
                <w:color w:val="auto"/>
              </w:rPr>
            </w:pPr>
            <w:r>
              <w:rPr>
                <w:rFonts w:ascii="Arial" w:cs="Arial" w:eastAsia="Arial" w:hAnsi="Arial"/>
                <w:sz w:val="15"/>
                <w:szCs w:val="15"/>
                <w:color w:val="auto"/>
                <w:w w:val="96"/>
              </w:rPr>
              <w:t>TOPICS IN STROKE REHABILITATION</w:t>
            </w:r>
          </w:p>
        </w:tc>
        <w:tc>
          <w:tcPr>
            <w:tcW w:w="340" w:type="dxa"/>
            <w:vAlign w:val="bottom"/>
          </w:tcPr>
          <w:p>
            <w:pPr>
              <w:jc w:val="right"/>
              <w:spacing w:after="0"/>
              <w:rPr>
                <w:sz w:val="20"/>
                <w:szCs w:val="20"/>
                <w:color w:val="auto"/>
              </w:rPr>
            </w:pPr>
            <w:r>
              <w:rPr>
                <w:rFonts w:ascii="Arial" w:cs="Arial" w:eastAsia="Arial" w:hAnsi="Arial"/>
                <w:sz w:val="15"/>
                <w:szCs w:val="15"/>
                <w:color w:val="auto"/>
              </w:rPr>
              <w:t>9</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6608445</wp:posOffset>
            </wp:positionH>
            <wp:positionV relativeFrom="page">
              <wp:posOffset>320675</wp:posOffset>
            </wp:positionV>
            <wp:extent cx="139700" cy="13970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a:extLst>
                        <a:ext uri="{28A0092B-C50C-407E-A947-70E740481C1C}"/>
                      </a:extLst>
                    </a:blip>
                    <a:srcRect/>
                    <a:stretch>
                      <a:fillRect/>
                    </a:stretch>
                  </pic:blipFill>
                  <pic:spPr bwMode="auto">
                    <a:xfrm>
                      <a:off x="0" y="0"/>
                      <a:ext cx="139700" cy="139700"/>
                    </a:xfrm>
                    <a:prstGeom prst="rect">
                      <a:avLst/>
                    </a:prstGeom>
                    <a:noFill/>
                  </pic:spPr>
                </pic:pic>
              </a:graphicData>
            </a:graphic>
          </wp:anchor>
        </w:drawing>
        <w:drawing>
          <wp:anchor simplePos="0" relativeHeight="251657728" behindDoc="1" locked="0" layoutInCell="0" allowOverlap="1">
            <wp:simplePos x="0" y="0"/>
            <wp:positionH relativeFrom="column">
              <wp:posOffset>766445</wp:posOffset>
            </wp:positionH>
            <wp:positionV relativeFrom="paragraph">
              <wp:posOffset>220345</wp:posOffset>
            </wp:positionV>
            <wp:extent cx="4714875" cy="33477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a:extLst>
                        <a:ext uri="{28A0092B-C50C-407E-A947-70E740481C1C}"/>
                      </a:extLst>
                    </a:blip>
                    <a:srcRect/>
                    <a:stretch>
                      <a:fillRect/>
                    </a:stretch>
                  </pic:blipFill>
                  <pic:spPr bwMode="auto">
                    <a:xfrm>
                      <a:off x="0" y="0"/>
                      <a:ext cx="4714875" cy="33477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both"/>
        <w:spacing w:after="0" w:line="237" w:lineRule="auto"/>
        <w:rPr>
          <w:sz w:val="20"/>
          <w:szCs w:val="20"/>
          <w:color w:val="auto"/>
        </w:rPr>
      </w:pPr>
      <w:r>
        <w:rPr>
          <w:rFonts w:ascii="Arial" w:cs="Arial" w:eastAsia="Arial" w:hAnsi="Arial"/>
          <w:sz w:val="19"/>
          <w:szCs w:val="19"/>
          <w:b w:val="1"/>
          <w:bCs w:val="1"/>
          <w:color w:val="10147E"/>
        </w:rPr>
        <w:t xml:space="preserve">Figure 5. </w:t>
      </w:r>
      <w:r>
        <w:rPr>
          <w:rFonts w:ascii="Arial" w:cs="Arial" w:eastAsia="Arial" w:hAnsi="Arial"/>
          <w:sz w:val="19"/>
          <w:szCs w:val="19"/>
          <w:color w:val="000000"/>
        </w:rPr>
        <w:t>The dynamic global motor cortex activation map with left-hand (paretic hand) movement in the right hemisphere stroke</w:t>
      </w:r>
      <w:r>
        <w:rPr>
          <w:rFonts w:ascii="Arial" w:cs="Arial" w:eastAsia="Arial" w:hAnsi="Arial"/>
          <w:sz w:val="19"/>
          <w:szCs w:val="19"/>
          <w:b w:val="1"/>
          <w:bCs w:val="1"/>
          <w:color w:val="10147E"/>
        </w:rPr>
        <w:t xml:space="preserve"> </w:t>
      </w:r>
      <w:r>
        <w:rPr>
          <w:rFonts w:ascii="Arial" w:cs="Arial" w:eastAsia="Arial" w:hAnsi="Arial"/>
          <w:sz w:val="19"/>
          <w:szCs w:val="19"/>
          <w:color w:val="000000"/>
        </w:rPr>
        <w:t>group.</w:t>
      </w:r>
    </w:p>
    <w:p>
      <w:pPr>
        <w:sectPr>
          <w:pgSz w:w="11880" w:h="15840" w:orient="portrait"/>
          <w:cols w:equalWidth="0" w:num="1">
            <w:col w:w="9840"/>
          </w:cols>
          <w:pgMar w:left="1020" w:top="520" w:right="1019" w:bottom="6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right="140" w:hanging="1"/>
        <w:spacing w:after="0" w:line="294" w:lineRule="auto"/>
        <w:rPr>
          <w:sz w:val="20"/>
          <w:szCs w:val="20"/>
          <w:color w:val="auto"/>
        </w:rPr>
      </w:pPr>
      <w:r>
        <w:rPr>
          <w:rFonts w:ascii="Arial" w:cs="Arial" w:eastAsia="Arial" w:hAnsi="Arial"/>
          <w:sz w:val="21"/>
          <w:szCs w:val="21"/>
          <w:b w:val="1"/>
          <w:bCs w:val="1"/>
          <w:i w:val="1"/>
          <w:iCs w:val="1"/>
          <w:color w:val="10147E"/>
        </w:rPr>
        <w:t>3.5 Correlations between behavioral assessments and fMRI</w:t>
      </w:r>
    </w:p>
    <w:p>
      <w:pPr>
        <w:spacing w:after="0" w:line="104" w:lineRule="exact"/>
        <w:rPr>
          <w:sz w:val="20"/>
          <w:szCs w:val="20"/>
          <w:color w:val="auto"/>
        </w:rPr>
      </w:pPr>
    </w:p>
    <w:p>
      <w:pPr>
        <w:spacing w:after="0" w:line="298" w:lineRule="auto"/>
        <w:rPr>
          <w:rFonts w:ascii="Arial" w:cs="Arial" w:eastAsia="Arial" w:hAnsi="Arial"/>
          <w:sz w:val="20"/>
          <w:szCs w:val="20"/>
          <w:color w:val="auto"/>
        </w:rPr>
      </w:pPr>
      <w:r>
        <w:rPr>
          <w:rFonts w:ascii="Arial" w:cs="Arial" w:eastAsia="Arial" w:hAnsi="Arial"/>
          <w:sz w:val="20"/>
          <w:szCs w:val="20"/>
          <w:color w:val="auto"/>
        </w:rPr>
        <w:t>There was a negative correlation between the values in the affected finger-tapping test and voxels in ipsilateral hemisphere activation in the left hemisphere infarction group. Similar correla-tions were found with the right hemisphere infarc-tion group. As finger tapping increased voxel activity decreased ipsilaterally. In addition, a positive correlation was noted for contralateral hemisphere activation in the left hemisphere infarc-tion group. Similar correlations were found with the right hemisphere infarction group (</w:t>
      </w:r>
      <w:hyperlink w:anchor="page11">
        <w:r>
          <w:rPr>
            <w:rFonts w:ascii="Arial" w:cs="Arial" w:eastAsia="Arial" w:hAnsi="Arial"/>
            <w:sz w:val="20"/>
            <w:szCs w:val="20"/>
            <w:color w:val="000080"/>
          </w:rPr>
          <w:t>Table 8</w:t>
        </w:r>
      </w:hyperlink>
      <w:r>
        <w:rPr>
          <w:rFonts w:ascii="Arial" w:cs="Arial" w:eastAsia="Arial" w:hAnsi="Arial"/>
          <w:sz w:val="20"/>
          <w:szCs w:val="20"/>
          <w:color w:val="auto"/>
        </w:rPr>
        <w:t>).</w:t>
      </w:r>
    </w:p>
    <w:p>
      <w:pPr>
        <w:spacing w:after="0" w:line="371" w:lineRule="exact"/>
        <w:rPr>
          <w:sz w:val="20"/>
          <w:szCs w:val="20"/>
          <w:color w:val="auto"/>
        </w:rPr>
      </w:pPr>
    </w:p>
    <w:p>
      <w:pPr>
        <w:spacing w:after="0"/>
        <w:rPr>
          <w:sz w:val="20"/>
          <w:szCs w:val="20"/>
          <w:color w:val="auto"/>
        </w:rPr>
      </w:pPr>
      <w:r>
        <w:rPr>
          <w:rFonts w:ascii="Arial" w:cs="Arial" w:eastAsia="Arial" w:hAnsi="Arial"/>
          <w:sz w:val="22"/>
          <w:szCs w:val="22"/>
          <w:b w:val="1"/>
          <w:bCs w:val="1"/>
          <w:color w:val="10147E"/>
        </w:rPr>
        <w:t>4. Discussion</w:t>
      </w:r>
    </w:p>
    <w:p>
      <w:pPr>
        <w:spacing w:after="0" w:line="179" w:lineRule="exact"/>
        <w:rPr>
          <w:sz w:val="20"/>
          <w:szCs w:val="20"/>
          <w:color w:val="auto"/>
        </w:rPr>
      </w:pPr>
    </w:p>
    <w:p>
      <w:pPr>
        <w:spacing w:after="0"/>
        <w:rPr>
          <w:sz w:val="20"/>
          <w:szCs w:val="20"/>
          <w:color w:val="auto"/>
        </w:rPr>
      </w:pPr>
      <w:r>
        <w:rPr>
          <w:rFonts w:ascii="Arial" w:cs="Arial" w:eastAsia="Arial" w:hAnsi="Arial"/>
          <w:sz w:val="21"/>
          <w:szCs w:val="21"/>
          <w:b w:val="1"/>
          <w:bCs w:val="1"/>
          <w:i w:val="1"/>
          <w:iCs w:val="1"/>
          <w:color w:val="10147E"/>
        </w:rPr>
        <w:t>4.1. Cortical reorganization patterns</w:t>
      </w:r>
    </w:p>
    <w:p>
      <w:pPr>
        <w:spacing w:after="0" w:line="174" w:lineRule="exact"/>
        <w:rPr>
          <w:sz w:val="20"/>
          <w:szCs w:val="20"/>
          <w:color w:val="auto"/>
        </w:rPr>
      </w:pPr>
    </w:p>
    <w:p>
      <w:pPr>
        <w:jc w:val="both"/>
        <w:spacing w:after="0" w:line="271" w:lineRule="auto"/>
        <w:rPr>
          <w:sz w:val="20"/>
          <w:szCs w:val="20"/>
          <w:color w:val="auto"/>
        </w:rPr>
      </w:pPr>
      <w:r>
        <w:rPr>
          <w:rFonts w:ascii="Arial" w:cs="Arial" w:eastAsia="Arial" w:hAnsi="Arial"/>
          <w:sz w:val="22"/>
          <w:szCs w:val="22"/>
          <w:color w:val="auto"/>
        </w:rPr>
        <w:t>In our study, during the early stages of stroke (acute stage), the patients’ paralytic hand move-ments activated the bilateral S1M1, contralateral PMC and SMA. In the HC group, hand move-ments activated only the contralateral S1M1 and PMC. These differences suggest that the unaf-fected hemisphere plays an important role in</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both"/>
        <w:spacing w:after="0" w:line="270" w:lineRule="auto"/>
        <w:rPr>
          <w:sz w:val="20"/>
          <w:szCs w:val="20"/>
          <w:color w:val="auto"/>
        </w:rPr>
      </w:pPr>
      <w:r>
        <w:rPr>
          <w:rFonts w:ascii="Arial" w:cs="Arial" w:eastAsia="Arial" w:hAnsi="Arial"/>
          <w:sz w:val="21"/>
          <w:szCs w:val="21"/>
          <w:color w:val="auto"/>
        </w:rPr>
        <w:t>compensating for the impaired motor function of the paralytic hand during the early stage after stroke. Using positron emission tomography-computed tomography (PET-CT), Calautti et al</w:t>
      </w:r>
      <w:r>
        <w:rPr>
          <w:rFonts w:ascii="Arial" w:cs="Arial" w:eastAsia="Arial" w:hAnsi="Arial"/>
          <w:sz w:val="27"/>
          <w:szCs w:val="27"/>
          <w:color w:val="000080"/>
          <w:vertAlign w:val="superscript"/>
        </w:rPr>
        <w:t>8</w:t>
      </w:r>
      <w:r>
        <w:rPr>
          <w:rFonts w:ascii="Arial" w:cs="Arial" w:eastAsia="Arial" w:hAnsi="Arial"/>
          <w:sz w:val="21"/>
          <w:szCs w:val="21"/>
          <w:color w:val="auto"/>
        </w:rPr>
        <w:t xml:space="preserve"> found that during the early stages of stroke, paralytic hand movements activated the hand areas of the cerebral cortex and the whole-brain motor network. Using fMRI, Marshall et al</w:t>
      </w:r>
      <w:r>
        <w:rPr>
          <w:rFonts w:ascii="Arial" w:cs="Arial" w:eastAsia="Arial" w:hAnsi="Arial"/>
          <w:sz w:val="27"/>
          <w:szCs w:val="27"/>
          <w:color w:val="000080"/>
          <w:vertAlign w:val="superscript"/>
        </w:rPr>
        <w:t>9</w:t>
      </w:r>
      <w:r>
        <w:rPr>
          <w:rFonts w:ascii="Arial" w:cs="Arial" w:eastAsia="Arial" w:hAnsi="Arial"/>
          <w:sz w:val="21"/>
          <w:szCs w:val="21"/>
          <w:color w:val="auto"/>
        </w:rPr>
        <w:t xml:space="preserve"> revealed that stroke patients showed greater acti-vation in the ipsilateral SMA, ipsilateral posterior parietal region, and bilateral prefrontal regions than the controls during a finger-thumb opposi-tion task. In our study, as the function of the paretic hand recovered during the early subacute stage of stroke, motor cortex activation in the contralesional hemisphere (unaffected hemi-sphere) decreased, while that in the ipsilesional hemisphere (affected hemisphere) increased. It can be inferred that the dominant role of the affected hemisphere in the motor task gradually increased during the recovery of function in the paretic hand, while the compensatory role of the unaffected hemisphere gradually decreased. Rehme et al</w:t>
      </w:r>
      <w:r>
        <w:rPr>
          <w:rFonts w:ascii="Arial" w:cs="Arial" w:eastAsia="Arial" w:hAnsi="Arial"/>
          <w:sz w:val="27"/>
          <w:szCs w:val="27"/>
          <w:color w:val="000080"/>
          <w:vertAlign w:val="superscript"/>
        </w:rPr>
        <w:t>10</w:t>
      </w:r>
      <w:r>
        <w:rPr>
          <w:rFonts w:ascii="Arial" w:cs="Arial" w:eastAsia="Arial" w:hAnsi="Arial"/>
          <w:sz w:val="21"/>
          <w:szCs w:val="21"/>
          <w:color w:val="auto"/>
        </w:rPr>
        <w:t xml:space="preserve"> found that patients with poorer outcomes showed enhanced negative coupling</w:t>
      </w:r>
    </w:p>
    <w:p>
      <w:pPr>
        <w:sectPr>
          <w:pgSz w:w="11880" w:h="15840" w:orient="portrait"/>
          <w:cols w:equalWidth="0" w:num="2">
            <w:col w:w="4740" w:space="360"/>
            <w:col w:w="4740"/>
          </w:cols>
          <w:pgMar w:left="1020" w:top="520" w:right="1019" w:bottom="652" w:gutter="0" w:footer="0" w:header="0"/>
          <w:type w:val="continuous"/>
        </w:sectPr>
      </w:pPr>
    </w:p>
    <w:bookmarkStart w:id="10" w:name="page11"/>
    <w:bookmarkEnd w:id="10"/>
    <w:p>
      <w:pPr>
        <w:spacing w:after="0"/>
        <w:tabs>
          <w:tab w:leader="none" w:pos="284" w:val="left"/>
        </w:tabs>
        <w:rPr>
          <w:sz w:val="20"/>
          <w:szCs w:val="20"/>
          <w:color w:val="auto"/>
        </w:rPr>
      </w:pPr>
      <w:r>
        <w:rPr>
          <w:rFonts w:ascii="Arial" w:cs="Arial" w:eastAsia="Arial" w:hAnsi="Arial"/>
          <w:sz w:val="15"/>
          <w:szCs w:val="15"/>
          <w:color w:val="auto"/>
        </w:rPr>
        <w:t>10</w:t>
      </w:r>
      <w:r>
        <w:rPr>
          <w:sz w:val="20"/>
          <w:szCs w:val="20"/>
          <w:color w:val="auto"/>
        </w:rPr>
        <w:tab/>
      </w:r>
      <w:r>
        <w:rPr>
          <w:sz w:val="1"/>
          <w:szCs w:val="1"/>
          <w:color w:val="auto"/>
        </w:rPr>
        <w:drawing>
          <wp:inline distT="0" distB="0" distL="0" distR="0">
            <wp:extent cx="139700" cy="1397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0">
                      <a:extLst>
                        <a:ext uri="{28A0092B-C50C-407E-A947-70E740481C1C}"/>
                      </a:extLst>
                    </a:blip>
                    <a:srcRect/>
                    <a:stretch>
                      <a:fillRect/>
                    </a:stretch>
                  </pic:blipFill>
                  <pic:spPr bwMode="auto">
                    <a:xfrm>
                      <a:off x="0" y="0"/>
                      <a:ext cx="139700" cy="139700"/>
                    </a:xfrm>
                    <a:prstGeom prst="rect">
                      <a:avLst/>
                    </a:prstGeom>
                    <a:noFill/>
                    <a:ln>
                      <a:noFill/>
                    </a:ln>
                  </pic:spPr>
                </pic:pic>
              </a:graphicData>
            </a:graphic>
          </wp:inline>
        </w:drawing>
      </w:r>
      <w:r>
        <w:rPr>
          <w:rFonts w:ascii="Arial" w:cs="Arial" w:eastAsia="Arial" w:hAnsi="Arial"/>
          <w:sz w:val="15"/>
          <w:szCs w:val="15"/>
          <w:color w:val="auto"/>
        </w:rPr>
        <w:t xml:space="preserve">  L. CHUNYONG ET AL.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766445</wp:posOffset>
            </wp:positionH>
            <wp:positionV relativeFrom="paragraph">
              <wp:posOffset>204470</wp:posOffset>
            </wp:positionV>
            <wp:extent cx="4714875" cy="318960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a:extLst>
                        <a:ext uri="{28A0092B-C50C-407E-A947-70E740481C1C}"/>
                      </a:extLst>
                    </a:blip>
                    <a:srcRect/>
                    <a:stretch>
                      <a:fillRect/>
                    </a:stretch>
                  </pic:blipFill>
                  <pic:spPr bwMode="auto">
                    <a:xfrm>
                      <a:off x="0" y="0"/>
                      <a:ext cx="4714875" cy="31896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both"/>
        <w:spacing w:after="0" w:line="292" w:lineRule="auto"/>
        <w:rPr>
          <w:sz w:val="20"/>
          <w:szCs w:val="20"/>
          <w:color w:val="auto"/>
        </w:rPr>
      </w:pPr>
      <w:r>
        <w:rPr>
          <w:rFonts w:ascii="Arial" w:cs="Arial" w:eastAsia="Arial" w:hAnsi="Arial"/>
          <w:sz w:val="16"/>
          <w:szCs w:val="16"/>
          <w:b w:val="1"/>
          <w:bCs w:val="1"/>
          <w:color w:val="10147E"/>
        </w:rPr>
        <w:t xml:space="preserve">Figure 6. </w:t>
      </w:r>
      <w:r>
        <w:rPr>
          <w:rFonts w:ascii="Arial" w:cs="Arial" w:eastAsia="Arial" w:hAnsi="Arial"/>
          <w:sz w:val="16"/>
          <w:szCs w:val="16"/>
          <w:color w:val="000000"/>
        </w:rPr>
        <w:t>The left panels show activation in the HC group; the top left panel shows that the left S1M1 was activated by right-hand</w:t>
      </w:r>
      <w:r>
        <w:rPr>
          <w:rFonts w:ascii="Arial" w:cs="Arial" w:eastAsia="Arial" w:hAnsi="Arial"/>
          <w:sz w:val="16"/>
          <w:szCs w:val="16"/>
          <w:b w:val="1"/>
          <w:bCs w:val="1"/>
          <w:color w:val="10147E"/>
        </w:rPr>
        <w:t xml:space="preserve"> </w:t>
      </w:r>
      <w:r>
        <w:rPr>
          <w:rFonts w:ascii="Arial" w:cs="Arial" w:eastAsia="Arial" w:hAnsi="Arial"/>
          <w:sz w:val="16"/>
          <w:szCs w:val="16"/>
          <w:color w:val="000000"/>
        </w:rPr>
        <w:t>movements, while the bottom left panel shows that the right S1M1 was activated by left-hand movements. The top right panel shows the dynamic process of motor cortex activation in the left hemisphere stroke group during right-hand movements. The bottom right panel shows the dynamic process of motor cortex activation in the right hemisphere stroke group during left-hand movements. During the acute stage, the activated voxels in the dominant hemisphere in the left hemisphere stroke group were greater than those in the nondominant hemisphere stroke group during the paretic hand grip task. During the early subacute stage, the tendency persisted, and the activated voxels in the nondominant hemisphere in the left hemisphere stroke group were greater than those in the dominant hemisphere in the right hemisphere stroke group during the paretic hand grip task. During the late subacute stage, the two groups showed no differences.</w:t>
      </w:r>
    </w:p>
    <w:p>
      <w:pPr>
        <w:sectPr>
          <w:pgSz w:w="11880" w:h="15840" w:orient="portrait"/>
          <w:cols w:equalWidth="0" w:num="1">
            <w:col w:w="9840"/>
          </w:cols>
          <w:pgMar w:left="1020" w:top="472" w:right="1019" w:bottom="543" w:gutter="0" w:footer="0" w:header="0"/>
        </w:sectPr>
      </w:pPr>
    </w:p>
    <w:p>
      <w:pPr>
        <w:spacing w:after="0" w:line="200" w:lineRule="exact"/>
        <w:rPr>
          <w:sz w:val="20"/>
          <w:szCs w:val="20"/>
          <w:color w:val="auto"/>
        </w:rPr>
      </w:pPr>
    </w:p>
    <w:p>
      <w:pPr>
        <w:spacing w:after="0" w:line="264" w:lineRule="exact"/>
        <w:rPr>
          <w:sz w:val="20"/>
          <w:szCs w:val="20"/>
          <w:color w:val="auto"/>
        </w:rPr>
      </w:pPr>
    </w:p>
    <w:p>
      <w:pPr>
        <w:ind w:left="60"/>
        <w:spacing w:after="0"/>
        <w:rPr>
          <w:sz w:val="20"/>
          <w:szCs w:val="20"/>
          <w:color w:val="auto"/>
        </w:rPr>
      </w:pPr>
      <w:r>
        <w:rPr>
          <w:rFonts w:ascii="Arial" w:cs="Arial" w:eastAsia="Arial" w:hAnsi="Arial"/>
          <w:sz w:val="17"/>
          <w:szCs w:val="17"/>
          <w:b w:val="1"/>
          <w:bCs w:val="1"/>
          <w:color w:val="10147E"/>
        </w:rPr>
        <w:t xml:space="preserve">Table 8. </w:t>
      </w:r>
      <w:r>
        <w:rPr>
          <w:rFonts w:ascii="Arial" w:cs="Arial" w:eastAsia="Arial" w:hAnsi="Arial"/>
          <w:sz w:val="17"/>
          <w:szCs w:val="17"/>
          <w:color w:val="000000"/>
        </w:rPr>
        <w:t>Correlations between finger-tapping test and fMRI.</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36195</wp:posOffset>
                </wp:positionH>
                <wp:positionV relativeFrom="paragraph">
                  <wp:posOffset>22860</wp:posOffset>
                </wp:positionV>
                <wp:extent cx="3009900"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009900" cy="4763"/>
                        </a:xfrm>
                        <a:prstGeom prst="line">
                          <a:avLst/>
                        </a:prstGeom>
                        <a:solidFill>
                          <a:srgbClr val="FFFFFF"/>
                        </a:solidFill>
                        <a:ln w="6350">
                          <a:solidFill>
                            <a:srgbClr val="10147E"/>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5pt,1.8pt" to="239.85pt,1.8pt" o:allowincell="f" strokecolor="#10147E" strokeweight="0.5pt"/>
            </w:pict>
          </mc:Fallback>
        </mc:AlternateContent>
      </w:r>
    </w:p>
    <w:p>
      <w:pPr>
        <w:spacing w:after="0" w:line="53" w:lineRule="exact"/>
        <w:rPr>
          <w:sz w:val="20"/>
          <w:szCs w:val="20"/>
          <w:color w:val="auto"/>
        </w:rPr>
      </w:pPr>
    </w:p>
    <w:tbl>
      <w:tblPr>
        <w:tblLayout w:type="fixed"/>
        <w:tblInd w:w="60" w:type="dxa"/>
        <w:tblCellMar>
          <w:top w:w="0" w:type="dxa"/>
          <w:left w:w="0" w:type="dxa"/>
          <w:bottom w:w="0" w:type="dxa"/>
          <w:right w:w="0" w:type="dxa"/>
        </w:tblCellMar>
      </w:tblPr>
      <w:tr>
        <w:trPr>
          <w:trHeight w:val="184"/>
        </w:trPr>
        <w:tc>
          <w:tcPr>
            <w:tcW w:w="280" w:type="dxa"/>
            <w:vAlign w:val="bottom"/>
          </w:tcPr>
          <w:p>
            <w:pPr>
              <w:spacing w:after="0"/>
              <w:rPr>
                <w:sz w:val="16"/>
                <w:szCs w:val="16"/>
                <w:color w:val="auto"/>
              </w:rPr>
            </w:pPr>
          </w:p>
        </w:tc>
        <w:tc>
          <w:tcPr>
            <w:tcW w:w="1040" w:type="dxa"/>
            <w:vAlign w:val="bottom"/>
            <w:gridSpan w:val="2"/>
          </w:tcPr>
          <w:p>
            <w:pPr>
              <w:jc w:val="right"/>
              <w:ind w:right="40"/>
              <w:spacing w:after="0"/>
              <w:rPr>
                <w:sz w:val="20"/>
                <w:szCs w:val="20"/>
                <w:color w:val="auto"/>
              </w:rPr>
            </w:pPr>
            <w:r>
              <w:rPr>
                <w:rFonts w:ascii="Arial" w:cs="Arial" w:eastAsia="Arial" w:hAnsi="Arial"/>
                <w:sz w:val="16"/>
                <w:szCs w:val="16"/>
                <w:color w:val="auto"/>
                <w:w w:val="87"/>
              </w:rPr>
              <w:t>Right hand (A)</w:t>
            </w:r>
          </w:p>
        </w:tc>
        <w:tc>
          <w:tcPr>
            <w:tcW w:w="180" w:type="dxa"/>
            <w:vAlign w:val="bottom"/>
          </w:tcPr>
          <w:p>
            <w:pPr>
              <w:spacing w:after="0"/>
              <w:rPr>
                <w:sz w:val="16"/>
                <w:szCs w:val="16"/>
                <w:color w:val="auto"/>
              </w:rPr>
            </w:pPr>
          </w:p>
        </w:tc>
        <w:tc>
          <w:tcPr>
            <w:tcW w:w="940" w:type="dxa"/>
            <w:vAlign w:val="bottom"/>
            <w:gridSpan w:val="2"/>
          </w:tcPr>
          <w:p>
            <w:pPr>
              <w:spacing w:after="0"/>
              <w:rPr>
                <w:sz w:val="20"/>
                <w:szCs w:val="20"/>
                <w:color w:val="auto"/>
              </w:rPr>
            </w:pPr>
            <w:r>
              <w:rPr>
                <w:rFonts w:ascii="Arial" w:cs="Arial" w:eastAsia="Arial" w:hAnsi="Arial"/>
                <w:sz w:val="16"/>
                <w:szCs w:val="16"/>
                <w:color w:val="auto"/>
                <w:w w:val="99"/>
              </w:rPr>
              <w:t>Left hand (B)</w:t>
            </w:r>
          </w:p>
        </w:tc>
        <w:tc>
          <w:tcPr>
            <w:tcW w:w="180" w:type="dxa"/>
            <w:vAlign w:val="bottom"/>
          </w:tcPr>
          <w:p>
            <w:pPr>
              <w:spacing w:after="0"/>
              <w:rPr>
                <w:sz w:val="16"/>
                <w:szCs w:val="16"/>
                <w:color w:val="auto"/>
              </w:rPr>
            </w:pPr>
          </w:p>
        </w:tc>
        <w:tc>
          <w:tcPr>
            <w:tcW w:w="1040" w:type="dxa"/>
            <w:vAlign w:val="bottom"/>
            <w:gridSpan w:val="2"/>
          </w:tcPr>
          <w:p>
            <w:pPr>
              <w:jc w:val="right"/>
              <w:ind w:right="40"/>
              <w:spacing w:after="0"/>
              <w:rPr>
                <w:sz w:val="20"/>
                <w:szCs w:val="20"/>
                <w:color w:val="auto"/>
              </w:rPr>
            </w:pPr>
            <w:r>
              <w:rPr>
                <w:rFonts w:ascii="Arial" w:cs="Arial" w:eastAsia="Arial" w:hAnsi="Arial"/>
                <w:sz w:val="16"/>
                <w:szCs w:val="16"/>
                <w:color w:val="auto"/>
                <w:w w:val="87"/>
              </w:rPr>
              <w:t>Right hand (A)</w:t>
            </w:r>
          </w:p>
        </w:tc>
        <w:tc>
          <w:tcPr>
            <w:tcW w:w="180" w:type="dxa"/>
            <w:vAlign w:val="bottom"/>
          </w:tcPr>
          <w:p>
            <w:pPr>
              <w:spacing w:after="0"/>
              <w:rPr>
                <w:sz w:val="16"/>
                <w:szCs w:val="16"/>
                <w:color w:val="auto"/>
              </w:rPr>
            </w:pPr>
          </w:p>
        </w:tc>
        <w:tc>
          <w:tcPr>
            <w:tcW w:w="900" w:type="dxa"/>
            <w:vAlign w:val="bottom"/>
            <w:gridSpan w:val="2"/>
          </w:tcPr>
          <w:p>
            <w:pPr>
              <w:spacing w:after="0"/>
              <w:rPr>
                <w:sz w:val="20"/>
                <w:szCs w:val="20"/>
                <w:color w:val="auto"/>
              </w:rPr>
            </w:pPr>
            <w:r>
              <w:rPr>
                <w:rFonts w:ascii="Arial" w:cs="Arial" w:eastAsia="Arial" w:hAnsi="Arial"/>
                <w:sz w:val="16"/>
                <w:szCs w:val="16"/>
                <w:color w:val="auto"/>
                <w:w w:val="95"/>
              </w:rPr>
              <w:t>Left hand (B)</w:t>
            </w:r>
          </w:p>
        </w:tc>
      </w:tr>
      <w:tr>
        <w:trPr>
          <w:trHeight w:val="23"/>
        </w:trPr>
        <w:tc>
          <w:tcPr>
            <w:tcW w:w="280" w:type="dxa"/>
            <w:vAlign w:val="bottom"/>
          </w:tcPr>
          <w:p>
            <w:pPr>
              <w:spacing w:after="0" w:line="20" w:lineRule="exact"/>
              <w:rPr>
                <w:sz w:val="1"/>
                <w:szCs w:val="1"/>
                <w:color w:val="auto"/>
              </w:rPr>
            </w:pPr>
          </w:p>
        </w:tc>
        <w:tc>
          <w:tcPr>
            <w:tcW w:w="500" w:type="dxa"/>
            <w:vAlign w:val="bottom"/>
            <w:tcBorders>
              <w:bottom w:val="single" w:sz="8" w:color="10147E"/>
            </w:tcBorders>
          </w:tcPr>
          <w:p>
            <w:pPr>
              <w:spacing w:after="0" w:line="20" w:lineRule="exact"/>
              <w:rPr>
                <w:sz w:val="1"/>
                <w:szCs w:val="1"/>
                <w:color w:val="auto"/>
              </w:rPr>
            </w:pPr>
          </w:p>
        </w:tc>
        <w:tc>
          <w:tcPr>
            <w:tcW w:w="540" w:type="dxa"/>
            <w:vAlign w:val="bottom"/>
            <w:tcBorders>
              <w:bottom w:val="single" w:sz="8" w:color="10147E"/>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40" w:type="dxa"/>
            <w:vAlign w:val="bottom"/>
            <w:tcBorders>
              <w:bottom w:val="single" w:sz="8" w:color="10147E"/>
            </w:tcBorders>
            <w:gridSpan w:val="2"/>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40" w:type="dxa"/>
            <w:vAlign w:val="bottom"/>
            <w:tcBorders>
              <w:bottom w:val="single" w:sz="8" w:color="10147E"/>
            </w:tcBorders>
            <w:gridSpan w:val="2"/>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bottom w:val="single" w:sz="8" w:color="10147E"/>
            </w:tcBorders>
            <w:gridSpan w:val="2"/>
          </w:tcPr>
          <w:p>
            <w:pPr>
              <w:spacing w:after="0" w:line="20" w:lineRule="exact"/>
              <w:rPr>
                <w:sz w:val="1"/>
                <w:szCs w:val="1"/>
                <w:color w:val="auto"/>
              </w:rPr>
            </w:pPr>
          </w:p>
        </w:tc>
      </w:tr>
      <w:tr>
        <w:trPr>
          <w:trHeight w:val="211"/>
        </w:trPr>
        <w:tc>
          <w:tcPr>
            <w:tcW w:w="280" w:type="dxa"/>
            <w:vAlign w:val="bottom"/>
          </w:tcPr>
          <w:p>
            <w:pPr>
              <w:spacing w:after="0"/>
              <w:rPr>
                <w:sz w:val="18"/>
                <w:szCs w:val="18"/>
                <w:color w:val="auto"/>
              </w:rPr>
            </w:pPr>
          </w:p>
        </w:tc>
        <w:tc>
          <w:tcPr>
            <w:tcW w:w="500" w:type="dxa"/>
            <w:vAlign w:val="bottom"/>
          </w:tcPr>
          <w:p>
            <w:pPr>
              <w:jc w:val="center"/>
              <w:spacing w:after="0"/>
              <w:rPr>
                <w:sz w:val="20"/>
                <w:szCs w:val="20"/>
                <w:color w:val="auto"/>
              </w:rPr>
            </w:pPr>
            <w:r>
              <w:rPr>
                <w:rFonts w:ascii="Arial" w:cs="Arial" w:eastAsia="Arial" w:hAnsi="Arial"/>
                <w:sz w:val="16"/>
                <w:szCs w:val="16"/>
                <w:color w:val="auto"/>
                <w:w w:val="79"/>
              </w:rPr>
              <w:t>T2-T1</w:t>
            </w:r>
          </w:p>
        </w:tc>
        <w:tc>
          <w:tcPr>
            <w:tcW w:w="540" w:type="dxa"/>
            <w:vAlign w:val="bottom"/>
          </w:tcPr>
          <w:p>
            <w:pPr>
              <w:jc w:val="right"/>
              <w:ind w:right="60"/>
              <w:spacing w:after="0"/>
              <w:rPr>
                <w:sz w:val="20"/>
                <w:szCs w:val="20"/>
                <w:color w:val="auto"/>
              </w:rPr>
            </w:pPr>
            <w:r>
              <w:rPr>
                <w:rFonts w:ascii="Arial" w:cs="Arial" w:eastAsia="Arial" w:hAnsi="Arial"/>
                <w:sz w:val="16"/>
                <w:szCs w:val="16"/>
                <w:color w:val="auto"/>
                <w:w w:val="88"/>
              </w:rPr>
              <w:t>T3-T2</w:t>
            </w:r>
          </w:p>
        </w:tc>
        <w:tc>
          <w:tcPr>
            <w:tcW w:w="180" w:type="dxa"/>
            <w:vAlign w:val="bottom"/>
          </w:tcPr>
          <w:p>
            <w:pPr>
              <w:spacing w:after="0"/>
              <w:rPr>
                <w:sz w:val="18"/>
                <w:szCs w:val="18"/>
                <w:color w:val="auto"/>
              </w:rPr>
            </w:pPr>
          </w:p>
        </w:tc>
        <w:tc>
          <w:tcPr>
            <w:tcW w:w="940" w:type="dxa"/>
            <w:vAlign w:val="bottom"/>
            <w:gridSpan w:val="2"/>
          </w:tcPr>
          <w:p>
            <w:pPr>
              <w:spacing w:after="0"/>
              <w:rPr>
                <w:sz w:val="20"/>
                <w:szCs w:val="20"/>
                <w:color w:val="auto"/>
              </w:rPr>
            </w:pPr>
            <w:r>
              <w:rPr>
                <w:rFonts w:ascii="Arial" w:cs="Arial" w:eastAsia="Arial" w:hAnsi="Arial"/>
                <w:sz w:val="16"/>
                <w:szCs w:val="16"/>
                <w:color w:val="auto"/>
                <w:w w:val="97"/>
              </w:rPr>
              <w:t>T2-T1  T3-T2</w:t>
            </w:r>
          </w:p>
        </w:tc>
        <w:tc>
          <w:tcPr>
            <w:tcW w:w="180" w:type="dxa"/>
            <w:vAlign w:val="bottom"/>
          </w:tcPr>
          <w:p>
            <w:pPr>
              <w:spacing w:after="0"/>
              <w:rPr>
                <w:sz w:val="18"/>
                <w:szCs w:val="18"/>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6"/>
                <w:szCs w:val="16"/>
                <w:color w:val="auto"/>
                <w:w w:val="93"/>
              </w:rPr>
              <w:t>T2-T1  T3-T2</w:t>
            </w:r>
          </w:p>
        </w:tc>
        <w:tc>
          <w:tcPr>
            <w:tcW w:w="180" w:type="dxa"/>
            <w:vAlign w:val="bottom"/>
          </w:tcPr>
          <w:p>
            <w:pPr>
              <w:spacing w:after="0"/>
              <w:rPr>
                <w:sz w:val="18"/>
                <w:szCs w:val="18"/>
                <w:color w:val="auto"/>
              </w:rPr>
            </w:pPr>
          </w:p>
        </w:tc>
        <w:tc>
          <w:tcPr>
            <w:tcW w:w="900" w:type="dxa"/>
            <w:vAlign w:val="bottom"/>
            <w:gridSpan w:val="2"/>
          </w:tcPr>
          <w:p>
            <w:pPr>
              <w:spacing w:after="0"/>
              <w:rPr>
                <w:sz w:val="20"/>
                <w:szCs w:val="20"/>
                <w:color w:val="auto"/>
              </w:rPr>
            </w:pPr>
            <w:r>
              <w:rPr>
                <w:rFonts w:ascii="Arial" w:cs="Arial" w:eastAsia="Arial" w:hAnsi="Arial"/>
                <w:sz w:val="16"/>
                <w:szCs w:val="16"/>
                <w:color w:val="auto"/>
                <w:w w:val="93"/>
              </w:rPr>
              <w:t>T2-T1  T3-T2</w:t>
            </w:r>
          </w:p>
        </w:tc>
      </w:tr>
      <w:tr>
        <w:trPr>
          <w:trHeight w:val="22"/>
        </w:trPr>
        <w:tc>
          <w:tcPr>
            <w:tcW w:w="280" w:type="dxa"/>
            <w:vAlign w:val="bottom"/>
            <w:tcBorders>
              <w:bottom w:val="single" w:sz="8" w:color="10147E"/>
            </w:tcBorders>
          </w:tcPr>
          <w:p>
            <w:pPr>
              <w:spacing w:after="0" w:line="20" w:lineRule="exact"/>
              <w:rPr>
                <w:sz w:val="1"/>
                <w:szCs w:val="1"/>
                <w:color w:val="auto"/>
              </w:rPr>
            </w:pPr>
          </w:p>
        </w:tc>
        <w:tc>
          <w:tcPr>
            <w:tcW w:w="500" w:type="dxa"/>
            <w:vAlign w:val="bottom"/>
            <w:tcBorders>
              <w:bottom w:val="single" w:sz="8" w:color="10147E"/>
            </w:tcBorders>
          </w:tcPr>
          <w:p>
            <w:pPr>
              <w:spacing w:after="0" w:line="20" w:lineRule="exact"/>
              <w:rPr>
                <w:sz w:val="1"/>
                <w:szCs w:val="1"/>
                <w:color w:val="auto"/>
              </w:rPr>
            </w:pPr>
          </w:p>
        </w:tc>
        <w:tc>
          <w:tcPr>
            <w:tcW w:w="540" w:type="dxa"/>
            <w:vAlign w:val="bottom"/>
            <w:tcBorders>
              <w:bottom w:val="single" w:sz="8" w:color="10147E"/>
            </w:tcBorders>
          </w:tcPr>
          <w:p>
            <w:pPr>
              <w:spacing w:after="0" w:line="20" w:lineRule="exact"/>
              <w:rPr>
                <w:sz w:val="1"/>
                <w:szCs w:val="1"/>
                <w:color w:val="auto"/>
              </w:rPr>
            </w:pPr>
          </w:p>
        </w:tc>
        <w:tc>
          <w:tcPr>
            <w:tcW w:w="180" w:type="dxa"/>
            <w:vAlign w:val="bottom"/>
            <w:tcBorders>
              <w:bottom w:val="single" w:sz="8" w:color="10147E"/>
            </w:tcBorders>
          </w:tcPr>
          <w:p>
            <w:pPr>
              <w:spacing w:after="0" w:line="20" w:lineRule="exact"/>
              <w:rPr>
                <w:sz w:val="1"/>
                <w:szCs w:val="1"/>
                <w:color w:val="auto"/>
              </w:rPr>
            </w:pPr>
          </w:p>
        </w:tc>
        <w:tc>
          <w:tcPr>
            <w:tcW w:w="460" w:type="dxa"/>
            <w:vAlign w:val="bottom"/>
            <w:tcBorders>
              <w:bottom w:val="single" w:sz="8" w:color="10147E"/>
            </w:tcBorders>
          </w:tcPr>
          <w:p>
            <w:pPr>
              <w:spacing w:after="0" w:line="20" w:lineRule="exact"/>
              <w:rPr>
                <w:sz w:val="1"/>
                <w:szCs w:val="1"/>
                <w:color w:val="auto"/>
              </w:rPr>
            </w:pPr>
          </w:p>
        </w:tc>
        <w:tc>
          <w:tcPr>
            <w:tcW w:w="480" w:type="dxa"/>
            <w:vAlign w:val="bottom"/>
            <w:tcBorders>
              <w:bottom w:val="single" w:sz="8" w:color="10147E"/>
            </w:tcBorders>
          </w:tcPr>
          <w:p>
            <w:pPr>
              <w:spacing w:after="0" w:line="20" w:lineRule="exact"/>
              <w:rPr>
                <w:sz w:val="1"/>
                <w:szCs w:val="1"/>
                <w:color w:val="auto"/>
              </w:rPr>
            </w:pPr>
          </w:p>
        </w:tc>
        <w:tc>
          <w:tcPr>
            <w:tcW w:w="180" w:type="dxa"/>
            <w:vAlign w:val="bottom"/>
            <w:tcBorders>
              <w:bottom w:val="single" w:sz="8" w:color="10147E"/>
            </w:tcBorders>
          </w:tcPr>
          <w:p>
            <w:pPr>
              <w:spacing w:after="0" w:line="20" w:lineRule="exact"/>
              <w:rPr>
                <w:sz w:val="1"/>
                <w:szCs w:val="1"/>
                <w:color w:val="auto"/>
              </w:rPr>
            </w:pPr>
          </w:p>
        </w:tc>
        <w:tc>
          <w:tcPr>
            <w:tcW w:w="440" w:type="dxa"/>
            <w:vAlign w:val="bottom"/>
            <w:tcBorders>
              <w:bottom w:val="single" w:sz="8" w:color="10147E"/>
            </w:tcBorders>
          </w:tcPr>
          <w:p>
            <w:pPr>
              <w:spacing w:after="0" w:line="20" w:lineRule="exact"/>
              <w:rPr>
                <w:sz w:val="1"/>
                <w:szCs w:val="1"/>
                <w:color w:val="auto"/>
              </w:rPr>
            </w:pPr>
          </w:p>
        </w:tc>
        <w:tc>
          <w:tcPr>
            <w:tcW w:w="600" w:type="dxa"/>
            <w:vAlign w:val="bottom"/>
            <w:tcBorders>
              <w:bottom w:val="single" w:sz="8" w:color="10147E"/>
            </w:tcBorders>
          </w:tcPr>
          <w:p>
            <w:pPr>
              <w:spacing w:after="0" w:line="20" w:lineRule="exact"/>
              <w:rPr>
                <w:sz w:val="1"/>
                <w:szCs w:val="1"/>
                <w:color w:val="auto"/>
              </w:rPr>
            </w:pPr>
          </w:p>
        </w:tc>
        <w:tc>
          <w:tcPr>
            <w:tcW w:w="180" w:type="dxa"/>
            <w:vAlign w:val="bottom"/>
            <w:tcBorders>
              <w:bottom w:val="single" w:sz="8" w:color="10147E"/>
            </w:tcBorders>
          </w:tcPr>
          <w:p>
            <w:pPr>
              <w:spacing w:after="0" w:line="20" w:lineRule="exact"/>
              <w:rPr>
                <w:sz w:val="1"/>
                <w:szCs w:val="1"/>
                <w:color w:val="auto"/>
              </w:rPr>
            </w:pPr>
          </w:p>
        </w:tc>
        <w:tc>
          <w:tcPr>
            <w:tcW w:w="400" w:type="dxa"/>
            <w:vAlign w:val="bottom"/>
            <w:tcBorders>
              <w:bottom w:val="single" w:sz="8" w:color="10147E"/>
            </w:tcBorders>
          </w:tcPr>
          <w:p>
            <w:pPr>
              <w:spacing w:after="0" w:line="20" w:lineRule="exact"/>
              <w:rPr>
                <w:sz w:val="1"/>
                <w:szCs w:val="1"/>
                <w:color w:val="auto"/>
              </w:rPr>
            </w:pPr>
          </w:p>
        </w:tc>
        <w:tc>
          <w:tcPr>
            <w:tcW w:w="500" w:type="dxa"/>
            <w:vAlign w:val="bottom"/>
            <w:tcBorders>
              <w:bottom w:val="single" w:sz="8" w:color="10147E"/>
            </w:tcBorders>
          </w:tcPr>
          <w:p>
            <w:pPr>
              <w:spacing w:after="0" w:line="20" w:lineRule="exact"/>
              <w:rPr>
                <w:sz w:val="1"/>
                <w:szCs w:val="1"/>
                <w:color w:val="auto"/>
              </w:rPr>
            </w:pPr>
          </w:p>
        </w:tc>
      </w:tr>
      <w:tr>
        <w:trPr>
          <w:trHeight w:val="195"/>
        </w:trPr>
        <w:tc>
          <w:tcPr>
            <w:tcW w:w="280" w:type="dxa"/>
            <w:vAlign w:val="bottom"/>
          </w:tcPr>
          <w:p>
            <w:pPr>
              <w:ind w:left="80"/>
              <w:spacing w:after="0"/>
              <w:rPr>
                <w:sz w:val="20"/>
                <w:szCs w:val="20"/>
                <w:color w:val="auto"/>
              </w:rPr>
            </w:pPr>
            <w:r>
              <w:rPr>
                <w:rFonts w:ascii="Arial" w:cs="Arial" w:eastAsia="Arial" w:hAnsi="Arial"/>
                <w:sz w:val="16"/>
                <w:szCs w:val="16"/>
                <w:color w:val="auto"/>
              </w:rPr>
              <w:t>r</w:t>
            </w:r>
          </w:p>
        </w:tc>
        <w:tc>
          <w:tcPr>
            <w:tcW w:w="500" w:type="dxa"/>
            <w:vAlign w:val="bottom"/>
          </w:tcPr>
          <w:p>
            <w:pPr>
              <w:jc w:val="center"/>
              <w:spacing w:after="0"/>
              <w:rPr>
                <w:sz w:val="20"/>
                <w:szCs w:val="20"/>
                <w:color w:val="auto"/>
              </w:rPr>
            </w:pPr>
            <w:r>
              <w:rPr>
                <w:rFonts w:ascii="Arial" w:cs="Arial" w:eastAsia="Arial" w:hAnsi="Arial"/>
                <w:sz w:val="16"/>
                <w:szCs w:val="16"/>
                <w:color w:val="auto"/>
                <w:w w:val="88"/>
              </w:rPr>
              <w:t>−0.855</w:t>
            </w:r>
          </w:p>
        </w:tc>
        <w:tc>
          <w:tcPr>
            <w:tcW w:w="540" w:type="dxa"/>
            <w:vAlign w:val="bottom"/>
          </w:tcPr>
          <w:p>
            <w:pPr>
              <w:jc w:val="right"/>
              <w:spacing w:after="0"/>
              <w:rPr>
                <w:sz w:val="20"/>
                <w:szCs w:val="20"/>
                <w:color w:val="auto"/>
              </w:rPr>
            </w:pPr>
            <w:r>
              <w:rPr>
                <w:rFonts w:ascii="Arial" w:cs="Arial" w:eastAsia="Arial" w:hAnsi="Arial"/>
                <w:sz w:val="16"/>
                <w:szCs w:val="16"/>
                <w:color w:val="auto"/>
                <w:w w:val="97"/>
              </w:rPr>
              <w:t>−0.845</w:t>
            </w:r>
          </w:p>
        </w:tc>
        <w:tc>
          <w:tcPr>
            <w:tcW w:w="640" w:type="dxa"/>
            <w:vAlign w:val="bottom"/>
            <w:gridSpan w:val="2"/>
          </w:tcPr>
          <w:p>
            <w:pPr>
              <w:ind w:left="180"/>
              <w:spacing w:after="0"/>
              <w:rPr>
                <w:sz w:val="20"/>
                <w:szCs w:val="20"/>
                <w:color w:val="auto"/>
              </w:rPr>
            </w:pPr>
            <w:r>
              <w:rPr>
                <w:rFonts w:ascii="Arial" w:cs="Arial" w:eastAsia="Arial" w:hAnsi="Arial"/>
                <w:sz w:val="16"/>
                <w:szCs w:val="16"/>
                <w:color w:val="auto"/>
              </w:rPr>
              <w:t>0.815</w:t>
            </w:r>
          </w:p>
        </w:tc>
        <w:tc>
          <w:tcPr>
            <w:tcW w:w="480" w:type="dxa"/>
            <w:vAlign w:val="bottom"/>
          </w:tcPr>
          <w:p>
            <w:pPr>
              <w:ind w:left="100"/>
              <w:spacing w:after="0"/>
              <w:rPr>
                <w:sz w:val="20"/>
                <w:szCs w:val="20"/>
                <w:color w:val="auto"/>
              </w:rPr>
            </w:pPr>
            <w:r>
              <w:rPr>
                <w:rFonts w:ascii="Arial" w:cs="Arial" w:eastAsia="Arial" w:hAnsi="Arial"/>
                <w:sz w:val="16"/>
                <w:szCs w:val="16"/>
                <w:color w:val="auto"/>
                <w:w w:val="89"/>
              </w:rPr>
              <w:t>0.811</w:t>
            </w:r>
          </w:p>
        </w:tc>
        <w:tc>
          <w:tcPr>
            <w:tcW w:w="620" w:type="dxa"/>
            <w:vAlign w:val="bottom"/>
            <w:gridSpan w:val="2"/>
          </w:tcPr>
          <w:p>
            <w:pPr>
              <w:ind w:left="180"/>
              <w:spacing w:after="0"/>
              <w:rPr>
                <w:sz w:val="20"/>
                <w:szCs w:val="20"/>
                <w:color w:val="auto"/>
              </w:rPr>
            </w:pPr>
            <w:r>
              <w:rPr>
                <w:rFonts w:ascii="Arial" w:cs="Arial" w:eastAsia="Arial" w:hAnsi="Arial"/>
                <w:sz w:val="16"/>
                <w:szCs w:val="16"/>
                <w:color w:val="auto"/>
              </w:rPr>
              <w:t>0.796</w:t>
            </w:r>
          </w:p>
        </w:tc>
        <w:tc>
          <w:tcPr>
            <w:tcW w:w="600" w:type="dxa"/>
            <w:vAlign w:val="bottom"/>
          </w:tcPr>
          <w:p>
            <w:pPr>
              <w:jc w:val="right"/>
              <w:spacing w:after="0"/>
              <w:rPr>
                <w:sz w:val="20"/>
                <w:szCs w:val="20"/>
                <w:color w:val="auto"/>
              </w:rPr>
            </w:pPr>
            <w:r>
              <w:rPr>
                <w:rFonts w:ascii="Arial" w:cs="Arial" w:eastAsia="Arial" w:hAnsi="Arial"/>
                <w:sz w:val="16"/>
                <w:szCs w:val="16"/>
                <w:color w:val="auto"/>
              </w:rPr>
              <w:t>−0.763</w:t>
            </w:r>
          </w:p>
        </w:tc>
        <w:tc>
          <w:tcPr>
            <w:tcW w:w="580" w:type="dxa"/>
            <w:vAlign w:val="bottom"/>
            <w:gridSpan w:val="2"/>
          </w:tcPr>
          <w:p>
            <w:pPr>
              <w:ind w:left="180"/>
              <w:spacing w:after="0"/>
              <w:rPr>
                <w:sz w:val="20"/>
                <w:szCs w:val="20"/>
                <w:color w:val="auto"/>
              </w:rPr>
            </w:pPr>
            <w:r>
              <w:rPr>
                <w:rFonts w:ascii="Arial" w:cs="Arial" w:eastAsia="Arial" w:hAnsi="Arial"/>
                <w:sz w:val="16"/>
                <w:szCs w:val="16"/>
                <w:color w:val="auto"/>
                <w:w w:val="94"/>
              </w:rPr>
              <w:t>0.647</w:t>
            </w:r>
          </w:p>
        </w:tc>
        <w:tc>
          <w:tcPr>
            <w:tcW w:w="500" w:type="dxa"/>
            <w:vAlign w:val="bottom"/>
          </w:tcPr>
          <w:p>
            <w:pPr>
              <w:ind w:left="80"/>
              <w:spacing w:after="0"/>
              <w:rPr>
                <w:sz w:val="20"/>
                <w:szCs w:val="20"/>
                <w:color w:val="auto"/>
              </w:rPr>
            </w:pPr>
            <w:r>
              <w:rPr>
                <w:rFonts w:ascii="Arial" w:cs="Arial" w:eastAsia="Arial" w:hAnsi="Arial"/>
                <w:sz w:val="16"/>
                <w:szCs w:val="16"/>
                <w:color w:val="auto"/>
                <w:w w:val="99"/>
              </w:rPr>
              <w:t>0.682</w:t>
            </w:r>
          </w:p>
        </w:tc>
      </w:tr>
      <w:tr>
        <w:trPr>
          <w:trHeight w:val="190"/>
        </w:trPr>
        <w:tc>
          <w:tcPr>
            <w:tcW w:w="280" w:type="dxa"/>
            <w:vAlign w:val="bottom"/>
            <w:tcBorders>
              <w:bottom w:val="single" w:sz="8" w:color="10147E"/>
            </w:tcBorders>
          </w:tcPr>
          <w:p>
            <w:pPr>
              <w:ind w:left="80"/>
              <w:spacing w:after="0" w:line="181" w:lineRule="exact"/>
              <w:rPr>
                <w:sz w:val="20"/>
                <w:szCs w:val="20"/>
                <w:color w:val="auto"/>
              </w:rPr>
            </w:pPr>
            <w:r>
              <w:rPr>
                <w:rFonts w:ascii="Arial" w:cs="Arial" w:eastAsia="Arial" w:hAnsi="Arial"/>
                <w:sz w:val="16"/>
                <w:szCs w:val="16"/>
                <w:i w:val="1"/>
                <w:iCs w:val="1"/>
                <w:color w:val="auto"/>
              </w:rPr>
              <w:t>P</w:t>
            </w:r>
          </w:p>
        </w:tc>
        <w:tc>
          <w:tcPr>
            <w:tcW w:w="500" w:type="dxa"/>
            <w:vAlign w:val="bottom"/>
            <w:tcBorders>
              <w:bottom w:val="single" w:sz="8" w:color="10147E"/>
            </w:tcBorders>
          </w:tcPr>
          <w:p>
            <w:pPr>
              <w:jc w:val="right"/>
              <w:ind w:right="60"/>
              <w:spacing w:after="0" w:line="181" w:lineRule="exact"/>
              <w:rPr>
                <w:sz w:val="20"/>
                <w:szCs w:val="20"/>
                <w:color w:val="auto"/>
              </w:rPr>
            </w:pPr>
            <w:r>
              <w:rPr>
                <w:rFonts w:ascii="Arial" w:cs="Arial" w:eastAsia="Arial" w:hAnsi="Arial"/>
                <w:sz w:val="16"/>
                <w:szCs w:val="16"/>
                <w:color w:val="auto"/>
              </w:rPr>
              <w:t>0.03</w:t>
            </w:r>
          </w:p>
        </w:tc>
        <w:tc>
          <w:tcPr>
            <w:tcW w:w="540" w:type="dxa"/>
            <w:vAlign w:val="bottom"/>
            <w:tcBorders>
              <w:bottom w:val="single" w:sz="8" w:color="10147E"/>
            </w:tcBorders>
          </w:tcPr>
          <w:p>
            <w:pPr>
              <w:jc w:val="right"/>
              <w:spacing w:after="0" w:line="181" w:lineRule="exact"/>
              <w:rPr>
                <w:sz w:val="20"/>
                <w:szCs w:val="20"/>
                <w:color w:val="auto"/>
              </w:rPr>
            </w:pPr>
            <w:r>
              <w:rPr>
                <w:rFonts w:ascii="Arial" w:cs="Arial" w:eastAsia="Arial" w:hAnsi="Arial"/>
                <w:sz w:val="16"/>
                <w:szCs w:val="16"/>
                <w:color w:val="auto"/>
              </w:rPr>
              <w:t>0.034</w:t>
            </w:r>
          </w:p>
        </w:tc>
        <w:tc>
          <w:tcPr>
            <w:tcW w:w="640" w:type="dxa"/>
            <w:vAlign w:val="bottom"/>
            <w:tcBorders>
              <w:bottom w:val="single" w:sz="8" w:color="10147E"/>
            </w:tcBorders>
            <w:gridSpan w:val="2"/>
          </w:tcPr>
          <w:p>
            <w:pPr>
              <w:ind w:left="180"/>
              <w:spacing w:after="0" w:line="181" w:lineRule="exact"/>
              <w:rPr>
                <w:sz w:val="20"/>
                <w:szCs w:val="20"/>
                <w:color w:val="auto"/>
              </w:rPr>
            </w:pPr>
            <w:r>
              <w:rPr>
                <w:rFonts w:ascii="Arial" w:cs="Arial" w:eastAsia="Arial" w:hAnsi="Arial"/>
                <w:sz w:val="16"/>
                <w:szCs w:val="16"/>
                <w:color w:val="auto"/>
              </w:rPr>
              <w:t>0.048</w:t>
            </w:r>
          </w:p>
        </w:tc>
        <w:tc>
          <w:tcPr>
            <w:tcW w:w="480" w:type="dxa"/>
            <w:vAlign w:val="bottom"/>
            <w:tcBorders>
              <w:bottom w:val="single" w:sz="8" w:color="10147E"/>
            </w:tcBorders>
          </w:tcPr>
          <w:p>
            <w:pPr>
              <w:ind w:left="100"/>
              <w:spacing w:after="0" w:line="181" w:lineRule="exact"/>
              <w:rPr>
                <w:sz w:val="20"/>
                <w:szCs w:val="20"/>
                <w:color w:val="auto"/>
              </w:rPr>
            </w:pPr>
            <w:r>
              <w:rPr>
                <w:rFonts w:ascii="Arial" w:cs="Arial" w:eastAsia="Arial" w:hAnsi="Arial"/>
                <w:sz w:val="16"/>
                <w:szCs w:val="16"/>
                <w:color w:val="auto"/>
              </w:rPr>
              <w:t>0.05</w:t>
            </w:r>
          </w:p>
        </w:tc>
        <w:tc>
          <w:tcPr>
            <w:tcW w:w="620" w:type="dxa"/>
            <w:vAlign w:val="bottom"/>
            <w:tcBorders>
              <w:bottom w:val="single" w:sz="8" w:color="10147E"/>
            </w:tcBorders>
            <w:gridSpan w:val="2"/>
          </w:tcPr>
          <w:p>
            <w:pPr>
              <w:ind w:left="180"/>
              <w:spacing w:after="0" w:line="181" w:lineRule="exact"/>
              <w:rPr>
                <w:sz w:val="20"/>
                <w:szCs w:val="20"/>
                <w:color w:val="auto"/>
              </w:rPr>
            </w:pPr>
            <w:r>
              <w:rPr>
                <w:rFonts w:ascii="Arial" w:cs="Arial" w:eastAsia="Arial" w:hAnsi="Arial"/>
                <w:sz w:val="16"/>
                <w:szCs w:val="16"/>
                <w:color w:val="auto"/>
              </w:rPr>
              <w:t>0.01</w:t>
            </w:r>
          </w:p>
        </w:tc>
        <w:tc>
          <w:tcPr>
            <w:tcW w:w="600" w:type="dxa"/>
            <w:vAlign w:val="bottom"/>
            <w:tcBorders>
              <w:bottom w:val="single" w:sz="8" w:color="10147E"/>
            </w:tcBorders>
          </w:tcPr>
          <w:p>
            <w:pPr>
              <w:jc w:val="right"/>
              <w:spacing w:after="0" w:line="181" w:lineRule="exact"/>
              <w:rPr>
                <w:sz w:val="20"/>
                <w:szCs w:val="20"/>
                <w:color w:val="auto"/>
              </w:rPr>
            </w:pPr>
            <w:r>
              <w:rPr>
                <w:rFonts w:ascii="Arial" w:cs="Arial" w:eastAsia="Arial" w:hAnsi="Arial"/>
                <w:sz w:val="16"/>
                <w:szCs w:val="16"/>
                <w:color w:val="auto"/>
              </w:rPr>
              <w:t>0.017</w:t>
            </w:r>
          </w:p>
        </w:tc>
        <w:tc>
          <w:tcPr>
            <w:tcW w:w="580" w:type="dxa"/>
            <w:vAlign w:val="bottom"/>
            <w:tcBorders>
              <w:bottom w:val="single" w:sz="8" w:color="10147E"/>
            </w:tcBorders>
            <w:gridSpan w:val="2"/>
          </w:tcPr>
          <w:p>
            <w:pPr>
              <w:ind w:left="180"/>
              <w:spacing w:after="0" w:line="181" w:lineRule="exact"/>
              <w:rPr>
                <w:sz w:val="20"/>
                <w:szCs w:val="20"/>
                <w:color w:val="auto"/>
              </w:rPr>
            </w:pPr>
            <w:r>
              <w:rPr>
                <w:rFonts w:ascii="Arial" w:cs="Arial" w:eastAsia="Arial" w:hAnsi="Arial"/>
                <w:sz w:val="16"/>
                <w:szCs w:val="16"/>
                <w:color w:val="auto"/>
                <w:w w:val="94"/>
              </w:rPr>
              <w:t>0.043</w:t>
            </w:r>
          </w:p>
        </w:tc>
        <w:tc>
          <w:tcPr>
            <w:tcW w:w="500" w:type="dxa"/>
            <w:vAlign w:val="bottom"/>
            <w:tcBorders>
              <w:bottom w:val="single" w:sz="8" w:color="10147E"/>
            </w:tcBorders>
          </w:tcPr>
          <w:p>
            <w:pPr>
              <w:ind w:left="80"/>
              <w:spacing w:after="0" w:line="181" w:lineRule="exact"/>
              <w:rPr>
                <w:sz w:val="20"/>
                <w:szCs w:val="20"/>
                <w:color w:val="auto"/>
              </w:rPr>
            </w:pPr>
            <w:r>
              <w:rPr>
                <w:rFonts w:ascii="Arial" w:cs="Arial" w:eastAsia="Arial" w:hAnsi="Arial"/>
                <w:sz w:val="16"/>
                <w:szCs w:val="16"/>
                <w:color w:val="auto"/>
              </w:rPr>
              <w:t>0.03</w:t>
            </w:r>
          </w:p>
        </w:tc>
      </w:tr>
    </w:tbl>
    <w:p>
      <w:pPr>
        <w:spacing w:after="0" w:line="34" w:lineRule="exact"/>
        <w:rPr>
          <w:sz w:val="20"/>
          <w:szCs w:val="20"/>
          <w:color w:val="auto"/>
        </w:rPr>
      </w:pPr>
    </w:p>
    <w:p>
      <w:pPr>
        <w:ind w:left="60"/>
        <w:spacing w:after="0"/>
        <w:rPr>
          <w:sz w:val="20"/>
          <w:szCs w:val="20"/>
          <w:color w:val="auto"/>
        </w:rPr>
      </w:pPr>
      <w:r>
        <w:rPr>
          <w:rFonts w:ascii="Arial" w:cs="Arial" w:eastAsia="Arial" w:hAnsi="Arial"/>
          <w:sz w:val="16"/>
          <w:szCs w:val="16"/>
          <w:color w:val="auto"/>
        </w:rPr>
        <w:t>Note: A-Group A (left hemisphere stroke group);</w:t>
      </w:r>
    </w:p>
    <w:p>
      <w:pPr>
        <w:spacing w:after="0" w:line="2" w:lineRule="exact"/>
        <w:rPr>
          <w:sz w:val="20"/>
          <w:szCs w:val="20"/>
          <w:color w:val="auto"/>
        </w:rPr>
      </w:pPr>
    </w:p>
    <w:p>
      <w:pPr>
        <w:ind w:left="420"/>
        <w:spacing w:after="0"/>
        <w:rPr>
          <w:sz w:val="20"/>
          <w:szCs w:val="20"/>
          <w:color w:val="auto"/>
        </w:rPr>
      </w:pPr>
      <w:r>
        <w:rPr>
          <w:rFonts w:ascii="Arial" w:cs="Arial" w:eastAsia="Arial" w:hAnsi="Arial"/>
          <w:sz w:val="13"/>
          <w:szCs w:val="13"/>
          <w:color w:val="auto"/>
        </w:rPr>
        <w:t>B-Group B (right hemisphere stroke group); T1: Session 1; T2: Session 2;</w:t>
      </w:r>
    </w:p>
    <w:p>
      <w:pPr>
        <w:spacing w:after="0" w:line="24" w:lineRule="exact"/>
        <w:rPr>
          <w:sz w:val="20"/>
          <w:szCs w:val="20"/>
          <w:color w:val="auto"/>
        </w:rPr>
      </w:pPr>
    </w:p>
    <w:p>
      <w:pPr>
        <w:ind w:left="420"/>
        <w:spacing w:after="0"/>
        <w:rPr>
          <w:sz w:val="20"/>
          <w:szCs w:val="20"/>
          <w:color w:val="auto"/>
        </w:rPr>
      </w:pPr>
      <w:r>
        <w:rPr>
          <w:rFonts w:ascii="Arial" w:cs="Arial" w:eastAsia="Arial" w:hAnsi="Arial"/>
          <w:sz w:val="16"/>
          <w:szCs w:val="16"/>
          <w:color w:val="auto"/>
        </w:rPr>
        <w:t>T3: Session 3.</w:t>
      </w:r>
    </w:p>
    <w:p>
      <w:pPr>
        <w:spacing w:after="0" w:line="200" w:lineRule="exact"/>
        <w:rPr>
          <w:sz w:val="20"/>
          <w:szCs w:val="20"/>
          <w:color w:val="auto"/>
        </w:rPr>
      </w:pPr>
    </w:p>
    <w:p>
      <w:pPr>
        <w:spacing w:after="0" w:line="293" w:lineRule="exact"/>
        <w:rPr>
          <w:sz w:val="20"/>
          <w:szCs w:val="20"/>
          <w:color w:val="auto"/>
        </w:rPr>
      </w:pPr>
    </w:p>
    <w:p>
      <w:pPr>
        <w:jc w:val="both"/>
        <w:ind w:right="60"/>
        <w:spacing w:after="0" w:line="250" w:lineRule="auto"/>
        <w:rPr>
          <w:sz w:val="20"/>
          <w:szCs w:val="20"/>
          <w:color w:val="auto"/>
        </w:rPr>
      </w:pPr>
      <w:r>
        <w:rPr>
          <w:rFonts w:ascii="Arial" w:cs="Arial" w:eastAsia="Arial" w:hAnsi="Arial"/>
          <w:sz w:val="23"/>
          <w:szCs w:val="23"/>
          <w:color w:val="auto"/>
        </w:rPr>
        <w:t>from contralesional to ipsilesional M1, while patients with motor improvements showed increases in ipsilesional SMA–M1 coupling up to the late subacute stage of stroke. In our study, as the function of the paretic hand greatly recovered during the late subacute stage, paretic hand execution in the grip task showed activation of the ipsilesional S1M1 but not the contrale-sional S1M1 during fMRI. The activation patterns were similar to those in the HC group and some previous research.</w:t>
      </w:r>
      <w:r>
        <w:rPr>
          <w:rFonts w:ascii="Arial" w:cs="Arial" w:eastAsia="Arial" w:hAnsi="Arial"/>
          <w:sz w:val="30"/>
          <w:szCs w:val="30"/>
          <w:color w:val="000080"/>
          <w:vertAlign w:val="superscript"/>
        </w:rPr>
        <w:t>11–13</w:t>
      </w:r>
    </w:p>
    <w:p>
      <w:pPr>
        <w:spacing w:after="0" w:line="8" w:lineRule="exact"/>
        <w:rPr>
          <w:sz w:val="20"/>
          <w:szCs w:val="20"/>
          <w:color w:val="auto"/>
        </w:rPr>
      </w:pPr>
    </w:p>
    <w:p>
      <w:pPr>
        <w:jc w:val="both"/>
        <w:ind w:right="60" w:firstLine="239"/>
        <w:spacing w:after="0" w:line="301" w:lineRule="auto"/>
        <w:rPr>
          <w:sz w:val="20"/>
          <w:szCs w:val="20"/>
          <w:color w:val="auto"/>
        </w:rPr>
      </w:pPr>
      <w:r>
        <w:rPr>
          <w:rFonts w:ascii="Arial" w:cs="Arial" w:eastAsia="Arial" w:hAnsi="Arial"/>
          <w:sz w:val="20"/>
          <w:szCs w:val="20"/>
          <w:color w:val="auto"/>
        </w:rPr>
        <w:t>The dynamic processes in motor cortical activa-tion were quite clear; bilateral S1M1 areas were acti-vated and increased during the acute stage after</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1" w:lineRule="exact"/>
        <w:rPr>
          <w:sz w:val="20"/>
          <w:szCs w:val="20"/>
          <w:color w:val="auto"/>
        </w:rPr>
      </w:pPr>
    </w:p>
    <w:p>
      <w:pPr>
        <w:jc w:val="both"/>
        <w:spacing w:after="0" w:line="293" w:lineRule="auto"/>
        <w:rPr>
          <w:sz w:val="20"/>
          <w:szCs w:val="20"/>
          <w:color w:val="auto"/>
        </w:rPr>
      </w:pPr>
      <w:r>
        <w:rPr>
          <w:rFonts w:ascii="Arial" w:cs="Arial" w:eastAsia="Arial" w:hAnsi="Arial"/>
          <w:sz w:val="20"/>
          <w:szCs w:val="20"/>
          <w:color w:val="auto"/>
        </w:rPr>
        <w:t>stroke, bilateral S1M1 areas were also activated and increased, while contralesional S1M1 activation was weakened during the early subacute stage, and only the ipsilesional S1M1 was activated during the late subacute stage. The results of longitudinal fMRI stu-dies involving humans and rats have shown that neural activity in the ipsilesional sensorimotor cortex recovered, whereas abnormal activity in contrale-sional sensorimotor areas decreased concomitant with behavioral improvements.</w:t>
      </w:r>
      <w:r>
        <w:rPr>
          <w:rFonts w:ascii="Arial" w:cs="Arial" w:eastAsia="Arial" w:hAnsi="Arial"/>
          <w:sz w:val="26"/>
          <w:szCs w:val="26"/>
          <w:color w:val="000080"/>
          <w:vertAlign w:val="superscript"/>
        </w:rPr>
        <w:t>14–18</w:t>
      </w:r>
    </w:p>
    <w:p>
      <w:pPr>
        <w:spacing w:after="0" w:line="335" w:lineRule="exact"/>
        <w:rPr>
          <w:sz w:val="20"/>
          <w:szCs w:val="20"/>
          <w:color w:val="auto"/>
        </w:rPr>
      </w:pPr>
    </w:p>
    <w:p>
      <w:pPr>
        <w:jc w:val="both"/>
        <w:ind w:hanging="1"/>
        <w:spacing w:after="0" w:line="294" w:lineRule="auto"/>
        <w:rPr>
          <w:sz w:val="20"/>
          <w:szCs w:val="20"/>
          <w:color w:val="auto"/>
        </w:rPr>
      </w:pPr>
      <w:r>
        <w:rPr>
          <w:rFonts w:ascii="Arial" w:cs="Arial" w:eastAsia="Arial" w:hAnsi="Arial"/>
          <w:sz w:val="21"/>
          <w:szCs w:val="21"/>
          <w:b w:val="1"/>
          <w:bCs w:val="1"/>
          <w:i w:val="1"/>
          <w:iCs w:val="1"/>
          <w:color w:val="10147E"/>
        </w:rPr>
        <w:t>4.2. What role does the unaffected hemisphere play in the process of brain reorganization?</w:t>
      </w:r>
    </w:p>
    <w:p>
      <w:pPr>
        <w:spacing w:after="0" w:line="104" w:lineRule="exact"/>
        <w:rPr>
          <w:sz w:val="20"/>
          <w:szCs w:val="20"/>
          <w:color w:val="auto"/>
        </w:rPr>
      </w:pPr>
    </w:p>
    <w:p>
      <w:pPr>
        <w:jc w:val="both"/>
        <w:spacing w:after="0" w:line="289" w:lineRule="auto"/>
        <w:rPr>
          <w:sz w:val="20"/>
          <w:szCs w:val="20"/>
          <w:color w:val="auto"/>
        </w:rPr>
      </w:pPr>
      <w:r>
        <w:rPr>
          <w:rFonts w:ascii="Arial" w:cs="Arial" w:eastAsia="Arial" w:hAnsi="Arial"/>
          <w:sz w:val="20"/>
          <w:szCs w:val="20"/>
          <w:color w:val="auto"/>
        </w:rPr>
        <w:t>To date, the role of the ipsilateral, unaffected hemi-sphere in recovering after stroke remains contro-versial. In some previous fMRI studies, increased task-related activation within contralesional motor structures was observed in stroke patients com-pared with healthy participants.</w:t>
      </w:r>
      <w:r>
        <w:rPr>
          <w:rFonts w:ascii="Arial" w:cs="Arial" w:eastAsia="Arial" w:hAnsi="Arial"/>
          <w:sz w:val="26"/>
          <w:szCs w:val="26"/>
          <w:color w:val="000080"/>
          <w:vertAlign w:val="superscript"/>
        </w:rPr>
        <w:t>19</w:t>
      </w:r>
      <w:r>
        <w:rPr>
          <w:rFonts w:ascii="Arial" w:cs="Arial" w:eastAsia="Arial" w:hAnsi="Arial"/>
          <w:sz w:val="26"/>
          <w:szCs w:val="26"/>
          <w:color w:val="auto"/>
          <w:vertAlign w:val="superscript"/>
        </w:rPr>
        <w:t>,</w:t>
      </w:r>
      <w:r>
        <w:rPr>
          <w:rFonts w:ascii="Arial" w:cs="Arial" w:eastAsia="Arial" w:hAnsi="Arial"/>
          <w:sz w:val="26"/>
          <w:szCs w:val="26"/>
          <w:color w:val="000080"/>
          <w:vertAlign w:val="superscript"/>
        </w:rPr>
        <w:t>20</w:t>
      </w:r>
      <w:r>
        <w:rPr>
          <w:rFonts w:ascii="Arial" w:cs="Arial" w:eastAsia="Arial" w:hAnsi="Arial"/>
          <w:sz w:val="20"/>
          <w:szCs w:val="20"/>
          <w:color w:val="auto"/>
        </w:rPr>
        <w:t xml:space="preserve"> These findings were generally interpreted in favor of a functional role of the ipsilateral hemisphere in recovery.</w:t>
      </w:r>
    </w:p>
    <w:p>
      <w:pPr>
        <w:sectPr>
          <w:pgSz w:w="11880" w:h="15840" w:orient="portrait"/>
          <w:cols w:equalWidth="0" w:num="2">
            <w:col w:w="4800" w:space="300"/>
            <w:col w:w="4740"/>
          </w:cols>
          <w:pgMar w:left="1020" w:top="472" w:right="1019" w:bottom="543" w:gutter="0" w:footer="0" w:header="0"/>
          <w:type w:val="continuous"/>
        </w:sectPr>
      </w:pPr>
    </w:p>
    <w:bookmarkStart w:id="11" w:name="page12"/>
    <w:bookmarkEnd w:id="11"/>
    <w:p>
      <w:pPr>
        <w:spacing w:after="0" w:line="200" w:lineRule="exact"/>
        <w:rPr>
          <w:sz w:val="20"/>
          <w:szCs w:val="20"/>
          <w:color w:val="auto"/>
        </w:rPr>
      </w:pPr>
    </w:p>
    <w:p>
      <w:pPr>
        <w:spacing w:after="0" w:line="268" w:lineRule="exact"/>
        <w:rPr>
          <w:sz w:val="20"/>
          <w:szCs w:val="20"/>
          <w:color w:val="auto"/>
        </w:rPr>
      </w:pPr>
    </w:p>
    <w:p>
      <w:pPr>
        <w:jc w:val="both"/>
        <w:spacing w:after="0" w:line="267" w:lineRule="auto"/>
        <w:rPr>
          <w:sz w:val="20"/>
          <w:szCs w:val="20"/>
          <w:color w:val="auto"/>
        </w:rPr>
      </w:pPr>
      <w:r>
        <w:rPr>
          <w:rFonts w:ascii="Arial" w:cs="Arial" w:eastAsia="Arial" w:hAnsi="Arial"/>
          <w:sz w:val="21"/>
          <w:szCs w:val="21"/>
          <w:color w:val="auto"/>
        </w:rPr>
        <w:t>However, this interpretation has been challenged by subsequent studies reporting a persistence of these enhanced activation patterns in patients with poor recovery, and a decreased recruitment of ipsilateral motor structures in patients with improvements in motor function during follow-up.</w:t>
      </w:r>
      <w:r>
        <w:rPr>
          <w:rFonts w:ascii="Arial" w:cs="Arial" w:eastAsia="Arial" w:hAnsi="Arial"/>
          <w:sz w:val="27"/>
          <w:szCs w:val="27"/>
          <w:color w:val="000080"/>
          <w:vertAlign w:val="superscript"/>
        </w:rPr>
        <w:t>21</w:t>
      </w:r>
      <w:r>
        <w:rPr>
          <w:rFonts w:ascii="Arial" w:cs="Arial" w:eastAsia="Arial" w:hAnsi="Arial"/>
          <w:sz w:val="27"/>
          <w:szCs w:val="27"/>
          <w:color w:val="auto"/>
          <w:vertAlign w:val="superscript"/>
        </w:rPr>
        <w:t>,</w:t>
      </w:r>
      <w:r>
        <w:rPr>
          <w:rFonts w:ascii="Arial" w:cs="Arial" w:eastAsia="Arial" w:hAnsi="Arial"/>
          <w:sz w:val="27"/>
          <w:szCs w:val="27"/>
          <w:color w:val="000080"/>
          <w:vertAlign w:val="superscript"/>
        </w:rPr>
        <w:t>22</w:t>
      </w:r>
      <w:r>
        <w:rPr>
          <w:rFonts w:ascii="Arial" w:cs="Arial" w:eastAsia="Arial" w:hAnsi="Arial"/>
          <w:sz w:val="21"/>
          <w:szCs w:val="21"/>
          <w:color w:val="auto"/>
        </w:rPr>
        <w:t xml:space="preserve"> Several transcranial magnetic stimulation (TMS) experiments have indicated that contrale-sional brain activation may inhibit the ipsilesional cortex and thus be detrimental for motor recovery.</w:t>
      </w:r>
      <w:r>
        <w:rPr>
          <w:rFonts w:ascii="Arial" w:cs="Arial" w:eastAsia="Arial" w:hAnsi="Arial"/>
          <w:sz w:val="27"/>
          <w:szCs w:val="27"/>
          <w:color w:val="000080"/>
          <w:vertAlign w:val="superscript"/>
        </w:rPr>
        <w:t>23</w:t>
      </w:r>
      <w:r>
        <w:rPr>
          <w:rFonts w:ascii="Arial" w:cs="Arial" w:eastAsia="Arial" w:hAnsi="Arial"/>
          <w:sz w:val="27"/>
          <w:szCs w:val="27"/>
          <w:color w:val="auto"/>
          <w:vertAlign w:val="superscript"/>
        </w:rPr>
        <w:t>,</w:t>
      </w:r>
      <w:r>
        <w:rPr>
          <w:rFonts w:ascii="Arial" w:cs="Arial" w:eastAsia="Arial" w:hAnsi="Arial"/>
          <w:sz w:val="27"/>
          <w:szCs w:val="27"/>
          <w:color w:val="000080"/>
          <w:vertAlign w:val="superscript"/>
        </w:rPr>
        <w:t>24</w:t>
      </w:r>
      <w:r>
        <w:rPr>
          <w:rFonts w:ascii="Arial" w:cs="Arial" w:eastAsia="Arial" w:hAnsi="Arial"/>
          <w:sz w:val="21"/>
          <w:szCs w:val="21"/>
          <w:color w:val="auto"/>
        </w:rPr>
        <w:t xml:space="preserve"> Our finding of a correlation between overactivation in the unaffected hemisphere motor cortex and greater recovery in patients during the late subacute stage after stroke does not support the hypothesis that the recruitment of these structures generally represents maladaptive plasticity. Furthermore, a recent study used fMRI to investi-gate short-term reorganization in the right PMC after TMS disrupted the left PMC in healthy participants.</w:t>
      </w:r>
      <w:r>
        <w:rPr>
          <w:rFonts w:ascii="Arial" w:cs="Arial" w:eastAsia="Arial" w:hAnsi="Arial"/>
          <w:sz w:val="27"/>
          <w:szCs w:val="27"/>
          <w:color w:val="000080"/>
          <w:vertAlign w:val="superscript"/>
        </w:rPr>
        <w:t>24</w:t>
      </w:r>
      <w:r>
        <w:rPr>
          <w:rFonts w:ascii="Arial" w:cs="Arial" w:eastAsia="Arial" w:hAnsi="Arial"/>
          <w:sz w:val="21"/>
          <w:szCs w:val="21"/>
          <w:color w:val="auto"/>
        </w:rPr>
        <w:t xml:space="preserve"> There was a compensatory increase in activity in the right PMC and connected medial premotor areas, demonstrating recovery of func-tion after disruption by TMS.</w:t>
      </w:r>
      <w:r>
        <w:rPr>
          <w:rFonts w:ascii="Arial" w:cs="Arial" w:eastAsia="Arial" w:hAnsi="Arial"/>
          <w:sz w:val="27"/>
          <w:szCs w:val="27"/>
          <w:color w:val="000080"/>
          <w:vertAlign w:val="superscript"/>
        </w:rPr>
        <w:t>25</w:t>
      </w:r>
      <w:r>
        <w:rPr>
          <w:rFonts w:ascii="Arial" w:cs="Arial" w:eastAsia="Arial" w:hAnsi="Arial"/>
          <w:sz w:val="21"/>
          <w:szCs w:val="21"/>
          <w:color w:val="auto"/>
        </w:rPr>
        <w:t xml:space="preserve"> Gerloff et al</w:t>
      </w:r>
      <w:r>
        <w:rPr>
          <w:rFonts w:ascii="Arial" w:cs="Arial" w:eastAsia="Arial" w:hAnsi="Arial"/>
          <w:sz w:val="27"/>
          <w:szCs w:val="27"/>
          <w:color w:val="000080"/>
          <w:vertAlign w:val="superscript"/>
        </w:rPr>
        <w:t>26</w:t>
      </w:r>
      <w:r>
        <w:rPr>
          <w:rFonts w:ascii="Arial" w:cs="Arial" w:eastAsia="Arial" w:hAnsi="Arial"/>
          <w:sz w:val="21"/>
          <w:szCs w:val="21"/>
          <w:color w:val="auto"/>
        </w:rPr>
        <w:t xml:space="preserve"> found that contralesional motor areas significantly contributed to motor performance by using a multimodal approach incorporating electroence-phalography (EEG), PET and TMS in patients with subcortical stroke.</w:t>
      </w:r>
    </w:p>
    <w:p>
      <w:pPr>
        <w:spacing w:after="0" w:line="21" w:lineRule="exact"/>
        <w:rPr>
          <w:sz w:val="20"/>
          <w:szCs w:val="20"/>
          <w:color w:val="auto"/>
        </w:rPr>
      </w:pPr>
    </w:p>
    <w:p>
      <w:pPr>
        <w:jc w:val="both"/>
        <w:ind w:firstLine="239"/>
        <w:spacing w:after="0" w:line="279" w:lineRule="auto"/>
        <w:rPr>
          <w:sz w:val="20"/>
          <w:szCs w:val="20"/>
          <w:color w:val="auto"/>
        </w:rPr>
      </w:pPr>
      <w:r>
        <w:rPr>
          <w:rFonts w:ascii="Arial" w:cs="Arial" w:eastAsia="Arial" w:hAnsi="Arial"/>
          <w:sz w:val="20"/>
          <w:szCs w:val="20"/>
          <w:color w:val="auto"/>
        </w:rPr>
        <w:t>Our findings were also supported by the clinical observation that patients suffering from a second stroke in the opposite hemisphere not only develop new contralateral hemiparesis but also experience impairment in the function of the recovered limb.</w:t>
      </w:r>
      <w:r>
        <w:rPr>
          <w:rFonts w:ascii="Arial" w:cs="Arial" w:eastAsia="Arial" w:hAnsi="Arial"/>
          <w:sz w:val="26"/>
          <w:szCs w:val="26"/>
          <w:color w:val="000080"/>
          <w:vertAlign w:val="superscript"/>
        </w:rPr>
        <w:t>27–29</w:t>
      </w:r>
      <w:r>
        <w:rPr>
          <w:rFonts w:ascii="Arial" w:cs="Arial" w:eastAsia="Arial" w:hAnsi="Arial"/>
          <w:sz w:val="20"/>
          <w:szCs w:val="20"/>
          <w:color w:val="auto"/>
        </w:rPr>
        <w:t xml:space="preserve"> The results of animal experi-ments suggest that stimulation-evoked responses in the contralesional hemisphere relatively early after stroke are related to unmasking potentiation within the present neuronal circuitry because the formation of new anatomic connections requires several days to develop and peaks weeks after stroke.</w:t>
      </w:r>
      <w:r>
        <w:rPr>
          <w:rFonts w:ascii="Arial" w:cs="Arial" w:eastAsia="Arial" w:hAnsi="Arial"/>
          <w:sz w:val="26"/>
          <w:szCs w:val="26"/>
          <w:color w:val="000080"/>
          <w:vertAlign w:val="superscript"/>
        </w:rPr>
        <w:t>30</w:t>
      </w:r>
      <w:r>
        <w:rPr>
          <w:rFonts w:ascii="Arial" w:cs="Arial" w:eastAsia="Arial" w:hAnsi="Arial"/>
          <w:sz w:val="20"/>
          <w:szCs w:val="20"/>
          <w:color w:val="auto"/>
        </w:rPr>
        <w:t xml:space="preserve"> We hypothesize that the contralesional hemisphere plays a supportive role in recovery through the preexisting inhibitory network, which can be explained by our dynamic cortical reorganization model. Notably, activation in the ipsilateral SMA is not confined to stroke victims and can also be found in healthy participants during the performance of complex and nondo-minant hand tasks.</w:t>
      </w:r>
      <w:r>
        <w:rPr>
          <w:rFonts w:ascii="Arial" w:cs="Arial" w:eastAsia="Arial" w:hAnsi="Arial"/>
          <w:sz w:val="26"/>
          <w:szCs w:val="26"/>
          <w:color w:val="000080"/>
          <w:vertAlign w:val="superscript"/>
        </w:rPr>
        <w:t>31</w:t>
      </w:r>
      <w:r>
        <w:rPr>
          <w:rFonts w:ascii="Arial" w:cs="Arial" w:eastAsia="Arial" w:hAnsi="Arial"/>
          <w:sz w:val="26"/>
          <w:szCs w:val="26"/>
          <w:color w:val="auto"/>
          <w:vertAlign w:val="superscript"/>
        </w:rPr>
        <w:t>,</w:t>
      </w:r>
      <w:r>
        <w:rPr>
          <w:rFonts w:ascii="Arial" w:cs="Arial" w:eastAsia="Arial" w:hAnsi="Arial"/>
          <w:sz w:val="26"/>
          <w:szCs w:val="26"/>
          <w:color w:val="000080"/>
          <w:vertAlign w:val="superscript"/>
        </w:rPr>
        <w:t>32</w:t>
      </w:r>
      <w:r>
        <w:rPr>
          <w:rFonts w:ascii="Arial" w:cs="Arial" w:eastAsia="Arial" w:hAnsi="Arial"/>
          <w:sz w:val="20"/>
          <w:szCs w:val="20"/>
          <w:color w:val="auto"/>
        </w:rPr>
        <w:t xml:space="preserve"> Therefore, it is conceivable</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1720" w:type="dxa"/>
        <w:tblCellMar>
          <w:top w:w="0" w:type="dxa"/>
          <w:left w:w="0" w:type="dxa"/>
          <w:bottom w:w="0" w:type="dxa"/>
          <w:right w:w="0" w:type="dxa"/>
        </w:tblCellMar>
      </w:tblPr>
      <w:tr>
        <w:trPr>
          <w:trHeight w:val="178"/>
        </w:trPr>
        <w:tc>
          <w:tcPr>
            <w:tcW w:w="2600" w:type="dxa"/>
            <w:vAlign w:val="bottom"/>
          </w:tcPr>
          <w:p>
            <w:pPr>
              <w:spacing w:after="0"/>
              <w:rPr>
                <w:sz w:val="20"/>
                <w:szCs w:val="20"/>
                <w:color w:val="auto"/>
              </w:rPr>
            </w:pPr>
            <w:r>
              <w:rPr>
                <w:rFonts w:ascii="Arial" w:cs="Arial" w:eastAsia="Arial" w:hAnsi="Arial"/>
                <w:sz w:val="15"/>
                <w:szCs w:val="15"/>
                <w:color w:val="auto"/>
                <w:w w:val="96"/>
              </w:rPr>
              <w:t>TOPICS IN STROKE REHABILITATION</w:t>
            </w:r>
          </w:p>
        </w:tc>
        <w:tc>
          <w:tcPr>
            <w:tcW w:w="420" w:type="dxa"/>
            <w:vAlign w:val="bottom"/>
          </w:tcPr>
          <w:p>
            <w:pPr>
              <w:jc w:val="right"/>
              <w:spacing w:after="0"/>
              <w:rPr>
                <w:sz w:val="20"/>
                <w:szCs w:val="20"/>
                <w:color w:val="auto"/>
              </w:rPr>
            </w:pPr>
            <w:r>
              <w:rPr>
                <w:rFonts w:ascii="Arial" w:cs="Arial" w:eastAsia="Arial" w:hAnsi="Arial"/>
                <w:sz w:val="15"/>
                <w:szCs w:val="15"/>
                <w:color w:val="auto"/>
              </w:rPr>
              <w:t>11</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2673985</wp:posOffset>
            </wp:positionH>
            <wp:positionV relativeFrom="paragraph">
              <wp:posOffset>-123190</wp:posOffset>
            </wp:positionV>
            <wp:extent cx="139700" cy="13970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a:extLst>
                        <a:ext uri="{28A0092B-C50C-407E-A947-70E740481C1C}"/>
                      </a:extLst>
                    </a:blip>
                    <a:srcRect/>
                    <a:stretch>
                      <a:fillRect/>
                    </a:stretch>
                  </pic:blipFill>
                  <pic:spPr bwMode="auto">
                    <a:xfrm>
                      <a:off x="0" y="0"/>
                      <a:ext cx="139700" cy="139700"/>
                    </a:xfrm>
                    <a:prstGeom prst="rect">
                      <a:avLst/>
                    </a:prstGeom>
                    <a:noFill/>
                  </pic:spPr>
                </pic:pic>
              </a:graphicData>
            </a:graphic>
          </wp:anchor>
        </w:drawing>
      </w:r>
    </w:p>
    <w:p>
      <w:pPr>
        <w:spacing w:after="0" w:line="270" w:lineRule="exact"/>
        <w:rPr>
          <w:sz w:val="20"/>
          <w:szCs w:val="20"/>
          <w:color w:val="auto"/>
        </w:rPr>
      </w:pPr>
    </w:p>
    <w:p>
      <w:pPr>
        <w:jc w:val="both"/>
        <w:spacing w:after="0" w:line="260" w:lineRule="auto"/>
        <w:rPr>
          <w:sz w:val="20"/>
          <w:szCs w:val="20"/>
          <w:color w:val="auto"/>
        </w:rPr>
      </w:pPr>
      <w:r>
        <w:rPr>
          <w:rFonts w:ascii="Arial" w:cs="Arial" w:eastAsia="Arial" w:hAnsi="Arial"/>
          <w:sz w:val="23"/>
          <w:szCs w:val="23"/>
          <w:color w:val="auto"/>
        </w:rPr>
        <w:t>that the execution of the motor tasks required the recruitment of this bilateral network during the acute and early subacute stages in our stroke patients, who were physiologically engaged with complex tasks.</w:t>
      </w:r>
    </w:p>
    <w:p>
      <w:pPr>
        <w:spacing w:after="0" w:line="394" w:lineRule="exact"/>
        <w:rPr>
          <w:sz w:val="20"/>
          <w:szCs w:val="20"/>
          <w:color w:val="auto"/>
        </w:rPr>
      </w:pPr>
    </w:p>
    <w:p>
      <w:pPr>
        <w:jc w:val="both"/>
        <w:ind w:right="20" w:hanging="1"/>
        <w:spacing w:after="0" w:line="294" w:lineRule="auto"/>
        <w:rPr>
          <w:sz w:val="20"/>
          <w:szCs w:val="20"/>
          <w:color w:val="auto"/>
        </w:rPr>
      </w:pPr>
      <w:r>
        <w:rPr>
          <w:rFonts w:ascii="Arial" w:cs="Arial" w:eastAsia="Arial" w:hAnsi="Arial"/>
          <w:sz w:val="21"/>
          <w:szCs w:val="21"/>
          <w:b w:val="1"/>
          <w:bCs w:val="1"/>
          <w:i w:val="1"/>
          <w:iCs w:val="1"/>
          <w:color w:val="10147E"/>
        </w:rPr>
        <w:t>4.3. What role does the dominant hemisphere play in brain functional reorganization?</w:t>
      </w:r>
    </w:p>
    <w:p>
      <w:pPr>
        <w:spacing w:after="0" w:line="105" w:lineRule="exact"/>
        <w:rPr>
          <w:sz w:val="20"/>
          <w:szCs w:val="20"/>
          <w:color w:val="auto"/>
        </w:rPr>
      </w:pPr>
    </w:p>
    <w:p>
      <w:pPr>
        <w:jc w:val="both"/>
        <w:spacing w:after="0" w:line="277" w:lineRule="auto"/>
        <w:rPr>
          <w:sz w:val="20"/>
          <w:szCs w:val="20"/>
          <w:color w:val="auto"/>
        </w:rPr>
      </w:pPr>
      <w:r>
        <w:rPr>
          <w:rFonts w:ascii="Arial" w:cs="Arial" w:eastAsia="Arial" w:hAnsi="Arial"/>
          <w:sz w:val="21"/>
          <w:szCs w:val="21"/>
          <w:color w:val="auto"/>
        </w:rPr>
        <w:t>Our results show that the improvements in the behavior assessments (including finger-tapping test performance and maximal hand grip strength) in the left hemisphere infarction group were less significant than those in the right hemisphere infarction group. Motor cortex activation in the paretic hand task showed differences between the left hemisphere infarction group and the right hemisphere infarction group. During the acute and early subacute stages, the evoked activation of voxels in the ipsilesional or contralesional hemisphere in the right hemisphere infarction group was less than that in the left hemisphere infarction group. Our hypothesis explains that the dominant hemisphere plays a more important role in recovery. When the dominant hemisphere is affected, recovery is more complicated, and the compensation based on bilateral activation is more extensive and longer lasting. It has been reported that individuals with a left hemisphere stroke showed slower reaction times and less accuracy when reaching their nonparetic arm than healthy participants.</w:t>
      </w:r>
      <w:r>
        <w:rPr>
          <w:rFonts w:ascii="Arial" w:cs="Arial" w:eastAsia="Arial" w:hAnsi="Arial"/>
          <w:sz w:val="27"/>
          <w:szCs w:val="27"/>
          <w:color w:val="000080"/>
          <w:vertAlign w:val="superscript"/>
        </w:rPr>
        <w:t>33</w:t>
      </w:r>
      <w:r>
        <w:rPr>
          <w:rFonts w:ascii="Arial" w:cs="Arial" w:eastAsia="Arial" w:hAnsi="Arial"/>
          <w:sz w:val="27"/>
          <w:szCs w:val="27"/>
          <w:color w:val="auto"/>
          <w:vertAlign w:val="superscript"/>
        </w:rPr>
        <w:t>,</w:t>
      </w:r>
      <w:r>
        <w:rPr>
          <w:rFonts w:ascii="Arial" w:cs="Arial" w:eastAsia="Arial" w:hAnsi="Arial"/>
          <w:sz w:val="27"/>
          <w:szCs w:val="27"/>
          <w:color w:val="000080"/>
          <w:vertAlign w:val="superscript"/>
        </w:rPr>
        <w:t>34</w:t>
      </w:r>
      <w:r>
        <w:rPr>
          <w:rFonts w:ascii="Arial" w:cs="Arial" w:eastAsia="Arial" w:hAnsi="Arial"/>
          <w:sz w:val="21"/>
          <w:szCs w:val="21"/>
          <w:color w:val="auto"/>
        </w:rPr>
        <w:t xml:space="preserve"> The results from healthy adults and the nonparetic limbs of stroke survivors in this study also support the idea that the left hemisphere is more involved in compiling motor tasks and implementing movements than the right hemisphere in right-hand dominant individuals. We believe that the dominant hemi-sphere plays a more important role in motor cor-tex functional reorganization than the nondominant hemisphere in the process of recov-ery after stroke.</w:t>
      </w: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spacing w:after="0"/>
        <w:rPr>
          <w:sz w:val="20"/>
          <w:szCs w:val="20"/>
          <w:color w:val="auto"/>
        </w:rPr>
      </w:pPr>
      <w:r>
        <w:rPr>
          <w:rFonts w:ascii="Arial" w:cs="Arial" w:eastAsia="Arial" w:hAnsi="Arial"/>
          <w:sz w:val="22"/>
          <w:szCs w:val="22"/>
          <w:b w:val="1"/>
          <w:bCs w:val="1"/>
          <w:color w:val="10147E"/>
        </w:rPr>
        <w:t>5. Conclusion</w:t>
      </w:r>
    </w:p>
    <w:p>
      <w:pPr>
        <w:spacing w:after="0" w:line="174" w:lineRule="exact"/>
        <w:rPr>
          <w:sz w:val="20"/>
          <w:szCs w:val="20"/>
          <w:color w:val="auto"/>
        </w:rPr>
      </w:pPr>
    </w:p>
    <w:p>
      <w:pPr>
        <w:jc w:val="both"/>
        <w:spacing w:after="0" w:line="294" w:lineRule="auto"/>
        <w:rPr>
          <w:sz w:val="20"/>
          <w:szCs w:val="20"/>
          <w:color w:val="auto"/>
        </w:rPr>
      </w:pPr>
      <w:r>
        <w:rPr>
          <w:rFonts w:ascii="Arial" w:cs="Arial" w:eastAsia="Arial" w:hAnsi="Arial"/>
          <w:sz w:val="21"/>
          <w:szCs w:val="21"/>
          <w:color w:val="auto"/>
        </w:rPr>
        <w:t>Our results clearly demonstrate the dynamic pro-cess of motor cortical reorganization. explains the acute stages after stroke, the bilateral motor cortex was activated by paretic hand movement. The</w:t>
      </w:r>
    </w:p>
    <w:p>
      <w:pPr>
        <w:sectPr>
          <w:pgSz w:w="11880" w:h="15840" w:orient="portrait"/>
          <w:cols w:equalWidth="0" w:num="2">
            <w:col w:w="4740" w:space="360"/>
            <w:col w:w="4740"/>
          </w:cols>
          <w:pgMar w:left="1020" w:top="520" w:right="1019" w:bottom="496" w:gutter="0" w:footer="0" w:header="0"/>
        </w:sectPr>
      </w:pPr>
    </w:p>
    <w:bookmarkStart w:id="12" w:name="page13"/>
    <w:bookmarkEnd w:id="12"/>
    <w:p>
      <w:pPr>
        <w:spacing w:after="0"/>
        <w:tabs>
          <w:tab w:leader="none" w:pos="284" w:val="left"/>
        </w:tabs>
        <w:rPr>
          <w:sz w:val="20"/>
          <w:szCs w:val="20"/>
          <w:color w:val="auto"/>
        </w:rPr>
      </w:pPr>
      <w:r>
        <w:rPr>
          <w:rFonts w:ascii="Arial" w:cs="Arial" w:eastAsia="Arial" w:hAnsi="Arial"/>
          <w:sz w:val="15"/>
          <w:szCs w:val="15"/>
          <w:color w:val="auto"/>
        </w:rPr>
        <w:t>12</w:t>
      </w:r>
      <w:r>
        <w:rPr>
          <w:sz w:val="20"/>
          <w:szCs w:val="20"/>
          <w:color w:val="auto"/>
        </w:rPr>
        <w:tab/>
      </w:r>
      <w:r>
        <w:rPr>
          <w:sz w:val="1"/>
          <w:szCs w:val="1"/>
          <w:color w:val="auto"/>
        </w:rPr>
        <w:drawing>
          <wp:inline distT="0" distB="0" distL="0" distR="0">
            <wp:extent cx="139700" cy="1397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extLst>
                        <a:ext uri="{28A0092B-C50C-407E-A947-70E740481C1C}"/>
                      </a:extLst>
                    </a:blip>
                    <a:srcRect/>
                    <a:stretch>
                      <a:fillRect/>
                    </a:stretch>
                  </pic:blipFill>
                  <pic:spPr bwMode="auto">
                    <a:xfrm>
                      <a:off x="0" y="0"/>
                      <a:ext cx="139700" cy="139700"/>
                    </a:xfrm>
                    <a:prstGeom prst="rect">
                      <a:avLst/>
                    </a:prstGeom>
                    <a:noFill/>
                    <a:ln>
                      <a:noFill/>
                    </a:ln>
                  </pic:spPr>
                </pic:pic>
              </a:graphicData>
            </a:graphic>
          </wp:inline>
        </w:drawing>
      </w:r>
      <w:r>
        <w:rPr>
          <w:rFonts w:ascii="Arial" w:cs="Arial" w:eastAsia="Arial" w:hAnsi="Arial"/>
          <w:sz w:val="15"/>
          <w:szCs w:val="15"/>
          <w:color w:val="auto"/>
        </w:rPr>
        <w:t xml:space="preserve">  L. CHUNYONG ET AL.</w:t>
      </w:r>
    </w:p>
    <w:p>
      <w:pPr>
        <w:spacing w:after="0" w:line="265" w:lineRule="exact"/>
        <w:rPr>
          <w:sz w:val="20"/>
          <w:szCs w:val="20"/>
          <w:color w:val="auto"/>
        </w:rPr>
      </w:pPr>
    </w:p>
    <w:p>
      <w:pPr>
        <w:jc w:val="both"/>
        <w:spacing w:after="0" w:line="283" w:lineRule="auto"/>
        <w:rPr>
          <w:sz w:val="20"/>
          <w:szCs w:val="20"/>
          <w:color w:val="auto"/>
        </w:rPr>
      </w:pPr>
      <w:r>
        <w:rPr>
          <w:rFonts w:ascii="Arial" w:cs="Arial" w:eastAsia="Arial" w:hAnsi="Arial"/>
          <w:sz w:val="21"/>
          <w:szCs w:val="21"/>
          <w:color w:val="auto"/>
        </w:rPr>
        <w:t>bilateral hemisphere was activated and there was greater activation in the contralateral cortex than the ipsilateral hemisphere. Contralateral activation was observed during the late subacute stage. The dominant hemisphere may play a more important role in the reorganization of motor recovery than the nondominant hemisphere. However, this study has some limitations because of the sample size. The dynamic process of motor cortical reorganiza-tion requires further investigation in larger samples and randomized controlled trials.</w:t>
      </w: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Arial" w:cs="Arial" w:eastAsia="Arial" w:hAnsi="Arial"/>
          <w:sz w:val="22"/>
          <w:szCs w:val="22"/>
          <w:b w:val="1"/>
          <w:bCs w:val="1"/>
          <w:color w:val="10147E"/>
        </w:rPr>
        <w:t>Acknowledgments</w:t>
      </w:r>
    </w:p>
    <w:p>
      <w:pPr>
        <w:spacing w:after="0" w:line="221" w:lineRule="exact"/>
        <w:rPr>
          <w:sz w:val="20"/>
          <w:szCs w:val="20"/>
          <w:color w:val="auto"/>
        </w:rPr>
      </w:pPr>
    </w:p>
    <w:p>
      <w:pPr>
        <w:jc w:val="both"/>
        <w:spacing w:after="0" w:line="281" w:lineRule="auto"/>
        <w:rPr>
          <w:sz w:val="20"/>
          <w:szCs w:val="20"/>
          <w:color w:val="auto"/>
        </w:rPr>
      </w:pPr>
      <w:r>
        <w:rPr>
          <w:rFonts w:ascii="Arial" w:cs="Arial" w:eastAsia="Arial" w:hAnsi="Arial"/>
          <w:sz w:val="19"/>
          <w:szCs w:val="19"/>
          <w:color w:val="auto"/>
        </w:rPr>
        <w:t>We would like to thank Dr. Wang Jun (Department of MRI Center, General Hospital of Southern Theatre Command, PLA) for helping with technology and experi-mental equipment. All financial support was provided by grants from the Natural Science Foundation of China (no. 81471172).</w:t>
      </w:r>
    </w:p>
    <w:p>
      <w:pPr>
        <w:spacing w:after="0" w:line="392" w:lineRule="exact"/>
        <w:rPr>
          <w:sz w:val="20"/>
          <w:szCs w:val="20"/>
          <w:color w:val="auto"/>
        </w:rPr>
      </w:pPr>
    </w:p>
    <w:p>
      <w:pPr>
        <w:spacing w:after="0"/>
        <w:rPr>
          <w:sz w:val="20"/>
          <w:szCs w:val="20"/>
          <w:color w:val="auto"/>
        </w:rPr>
      </w:pPr>
      <w:r>
        <w:rPr>
          <w:rFonts w:ascii="Arial" w:cs="Arial" w:eastAsia="Arial" w:hAnsi="Arial"/>
          <w:sz w:val="22"/>
          <w:szCs w:val="22"/>
          <w:b w:val="1"/>
          <w:bCs w:val="1"/>
          <w:color w:val="10147E"/>
        </w:rPr>
        <w:t>Disclosure statement</w:t>
      </w:r>
    </w:p>
    <w:p>
      <w:pPr>
        <w:spacing w:after="0" w:line="209" w:lineRule="exact"/>
        <w:rPr>
          <w:sz w:val="20"/>
          <w:szCs w:val="20"/>
          <w:color w:val="auto"/>
        </w:rPr>
      </w:pPr>
    </w:p>
    <w:p>
      <w:pPr>
        <w:spacing w:after="0"/>
        <w:rPr>
          <w:sz w:val="20"/>
          <w:szCs w:val="20"/>
          <w:color w:val="auto"/>
        </w:rPr>
      </w:pPr>
      <w:r>
        <w:rPr>
          <w:rFonts w:ascii="Arial" w:cs="Arial" w:eastAsia="Arial" w:hAnsi="Arial"/>
          <w:sz w:val="17"/>
          <w:szCs w:val="17"/>
          <w:color w:val="auto"/>
        </w:rPr>
        <w:t>No potential conflict of interest was reported by the author(s).</w:t>
      </w:r>
    </w:p>
    <w:p>
      <w:pPr>
        <w:spacing w:after="0" w:line="200" w:lineRule="exact"/>
        <w:rPr>
          <w:sz w:val="20"/>
          <w:szCs w:val="20"/>
          <w:color w:val="auto"/>
        </w:rPr>
      </w:pPr>
    </w:p>
    <w:p>
      <w:pPr>
        <w:spacing w:after="0" w:line="262" w:lineRule="exact"/>
        <w:rPr>
          <w:sz w:val="20"/>
          <w:szCs w:val="20"/>
          <w:color w:val="auto"/>
        </w:rPr>
      </w:pPr>
    </w:p>
    <w:p>
      <w:pPr>
        <w:spacing w:after="0"/>
        <w:rPr>
          <w:sz w:val="20"/>
          <w:szCs w:val="20"/>
          <w:color w:val="auto"/>
        </w:rPr>
      </w:pPr>
      <w:r>
        <w:rPr>
          <w:rFonts w:ascii="Arial" w:cs="Arial" w:eastAsia="Arial" w:hAnsi="Arial"/>
          <w:sz w:val="22"/>
          <w:szCs w:val="22"/>
          <w:b w:val="1"/>
          <w:bCs w:val="1"/>
          <w:color w:val="10147E"/>
        </w:rPr>
        <w:t>Funding</w:t>
      </w:r>
    </w:p>
    <w:p>
      <w:pPr>
        <w:spacing w:after="0" w:line="211" w:lineRule="exact"/>
        <w:rPr>
          <w:sz w:val="20"/>
          <w:szCs w:val="20"/>
          <w:color w:val="auto"/>
        </w:rPr>
      </w:pPr>
    </w:p>
    <w:p>
      <w:pPr>
        <w:jc w:val="both"/>
        <w:spacing w:after="0" w:line="288" w:lineRule="auto"/>
        <w:rPr>
          <w:sz w:val="20"/>
          <w:szCs w:val="20"/>
          <w:color w:val="auto"/>
        </w:rPr>
      </w:pPr>
      <w:r>
        <w:rPr>
          <w:rFonts w:ascii="Arial" w:cs="Arial" w:eastAsia="Arial" w:hAnsi="Arial"/>
          <w:sz w:val="19"/>
          <w:szCs w:val="19"/>
          <w:color w:val="auto"/>
        </w:rPr>
        <w:t>This work was supported by the National Natural Science Foundation of China (NSFC) [81471172].</w:t>
      </w:r>
    </w:p>
    <w:p>
      <w:pPr>
        <w:spacing w:after="0" w:line="373" w:lineRule="exact"/>
        <w:rPr>
          <w:sz w:val="20"/>
          <w:szCs w:val="20"/>
          <w:color w:val="auto"/>
        </w:rPr>
      </w:pPr>
    </w:p>
    <w:p>
      <w:pPr>
        <w:spacing w:after="0"/>
        <w:rPr>
          <w:sz w:val="20"/>
          <w:szCs w:val="20"/>
          <w:color w:val="auto"/>
        </w:rPr>
      </w:pPr>
      <w:r>
        <w:rPr>
          <w:rFonts w:ascii="Arial" w:cs="Arial" w:eastAsia="Arial" w:hAnsi="Arial"/>
          <w:sz w:val="22"/>
          <w:szCs w:val="22"/>
          <w:b w:val="1"/>
          <w:bCs w:val="1"/>
          <w:color w:val="10147E"/>
        </w:rPr>
        <w:t>ORCID</w:t>
      </w:r>
    </w:p>
    <w:p>
      <w:pPr>
        <w:spacing w:after="0" w:line="211" w:lineRule="exact"/>
        <w:rPr>
          <w:sz w:val="20"/>
          <w:szCs w:val="20"/>
          <w:color w:val="auto"/>
        </w:rPr>
      </w:pPr>
    </w:p>
    <w:p>
      <w:pPr>
        <w:spacing w:after="0"/>
        <w:rPr>
          <w:sz w:val="20"/>
          <w:szCs w:val="20"/>
          <w:color w:val="auto"/>
        </w:rPr>
      </w:pPr>
      <w:r>
        <w:rPr>
          <w:rFonts w:ascii="Arial" w:cs="Arial" w:eastAsia="Arial" w:hAnsi="Arial"/>
          <w:sz w:val="19"/>
          <w:szCs w:val="19"/>
          <w:color w:val="auto"/>
        </w:rPr>
        <w:t xml:space="preserve">Yan Liu </w:t>
      </w:r>
      <w:r>
        <w:rPr>
          <w:sz w:val="1"/>
          <w:szCs w:val="1"/>
          <w:color w:val="auto"/>
        </w:rPr>
        <w:drawing>
          <wp:inline distT="0" distB="0" distL="0" distR="0">
            <wp:extent cx="127000" cy="1270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extLst>
                        <a:ext uri="{28A0092B-C50C-407E-A947-70E740481C1C}"/>
                      </a:extLst>
                    </a:blip>
                    <a:srcRect/>
                    <a:stretch>
                      <a:fillRect/>
                    </a:stretch>
                  </pic:blipFill>
                  <pic:spPr bwMode="auto">
                    <a:xfrm>
                      <a:off x="0" y="0"/>
                      <a:ext cx="127000" cy="127000"/>
                    </a:xfrm>
                    <a:prstGeom prst="rect">
                      <a:avLst/>
                    </a:prstGeom>
                    <a:noFill/>
                    <a:ln>
                      <a:noFill/>
                    </a:ln>
                  </pic:spPr>
                </pic:pic>
              </a:graphicData>
            </a:graphic>
          </wp:inline>
        </w:drawing>
      </w:r>
      <w:r>
        <w:rPr>
          <w:rFonts w:ascii="Arial" w:cs="Arial" w:eastAsia="Arial" w:hAnsi="Arial"/>
          <w:sz w:val="19"/>
          <w:szCs w:val="19"/>
          <w:color w:val="000080"/>
        </w:rPr>
        <w:t xml:space="preserve"> http://orcid.org/0000-0002-8516-8165</w:t>
      </w:r>
    </w:p>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Arial" w:cs="Arial" w:eastAsia="Arial" w:hAnsi="Arial"/>
          <w:sz w:val="22"/>
          <w:szCs w:val="22"/>
          <w:b w:val="1"/>
          <w:bCs w:val="1"/>
          <w:color w:val="10147E"/>
        </w:rPr>
        <w:t>References</w:t>
      </w:r>
    </w:p>
    <w:p>
      <w:pPr>
        <w:spacing w:after="0" w:line="211" w:lineRule="exact"/>
        <w:rPr>
          <w:sz w:val="20"/>
          <w:szCs w:val="20"/>
          <w:color w:val="auto"/>
        </w:rPr>
      </w:pPr>
    </w:p>
    <w:p>
      <w:pPr>
        <w:jc w:val="both"/>
        <w:ind w:left="480" w:hanging="224"/>
        <w:spacing w:after="0" w:line="273" w:lineRule="auto"/>
        <w:tabs>
          <w:tab w:leader="none" w:pos="480" w:val="left"/>
        </w:tabs>
        <w:numPr>
          <w:ilvl w:val="0"/>
          <w:numId w:val="4"/>
        </w:numPr>
        <w:rPr>
          <w:rFonts w:ascii="Arial" w:cs="Arial" w:eastAsia="Arial" w:hAnsi="Arial"/>
          <w:sz w:val="19"/>
          <w:szCs w:val="19"/>
          <w:color w:val="000080"/>
        </w:rPr>
      </w:pPr>
      <w:r>
        <w:rPr>
          <w:rFonts w:ascii="Arial" w:cs="Arial" w:eastAsia="Arial" w:hAnsi="Arial"/>
          <w:sz w:val="19"/>
          <w:szCs w:val="19"/>
          <w:color w:val="auto"/>
        </w:rPr>
        <w:t xml:space="preserve">Raghavan P. Upper Limb Motor Impairment After Stroke[J]. </w:t>
      </w:r>
      <w:r>
        <w:rPr>
          <w:rFonts w:ascii="Arial" w:cs="Arial" w:eastAsia="Arial" w:hAnsi="Arial"/>
          <w:sz w:val="19"/>
          <w:szCs w:val="19"/>
          <w:i w:val="1"/>
          <w:iCs w:val="1"/>
          <w:color w:val="auto"/>
        </w:rPr>
        <w:t>Physical Medicine and Rehabilitation Clinics</w:t>
      </w:r>
      <w:r>
        <w:rPr>
          <w:rFonts w:ascii="Arial" w:cs="Arial" w:eastAsia="Arial" w:hAnsi="Arial"/>
          <w:sz w:val="19"/>
          <w:szCs w:val="19"/>
          <w:color w:val="auto"/>
        </w:rPr>
        <w:t xml:space="preserve"> </w:t>
      </w:r>
      <w:r>
        <w:rPr>
          <w:rFonts w:ascii="Arial" w:cs="Arial" w:eastAsia="Arial" w:hAnsi="Arial"/>
          <w:sz w:val="19"/>
          <w:szCs w:val="19"/>
          <w:i w:val="1"/>
          <w:iCs w:val="1"/>
          <w:color w:val="auto"/>
        </w:rPr>
        <w:t>of North America</w:t>
      </w:r>
      <w:r>
        <w:rPr>
          <w:rFonts w:ascii="Arial" w:cs="Arial" w:eastAsia="Arial" w:hAnsi="Arial"/>
          <w:sz w:val="19"/>
          <w:szCs w:val="19"/>
          <w:color w:val="auto"/>
        </w:rPr>
        <w:t>.</w:t>
      </w:r>
      <w:r>
        <w:rPr>
          <w:rFonts w:ascii="Arial" w:cs="Arial" w:eastAsia="Arial" w:hAnsi="Arial"/>
          <w:sz w:val="19"/>
          <w:szCs w:val="19"/>
          <w:i w:val="1"/>
          <w:iCs w:val="1"/>
          <w:color w:val="auto"/>
        </w:rPr>
        <w:t xml:space="preserve"> </w:t>
      </w:r>
      <w:hyperlink w:anchor="page2">
        <w:r>
          <w:rPr>
            <w:rFonts w:ascii="Arial" w:cs="Arial" w:eastAsia="Arial" w:hAnsi="Arial"/>
            <w:sz w:val="19"/>
            <w:szCs w:val="19"/>
            <w:color w:val="000080"/>
          </w:rPr>
          <w:t>2015</w:t>
        </w:r>
      </w:hyperlink>
      <w:r>
        <w:rPr>
          <w:rFonts w:ascii="Arial" w:cs="Arial" w:eastAsia="Arial" w:hAnsi="Arial"/>
          <w:sz w:val="19"/>
          <w:szCs w:val="19"/>
          <w:color w:val="auto"/>
        </w:rPr>
        <w:t>;26(4):599–610.</w:t>
      </w:r>
      <w:r>
        <w:rPr>
          <w:rFonts w:ascii="Arial" w:cs="Arial" w:eastAsia="Arial" w:hAnsi="Arial"/>
          <w:sz w:val="19"/>
          <w:szCs w:val="19"/>
          <w:i w:val="1"/>
          <w:iCs w:val="1"/>
          <w:color w:val="auto"/>
        </w:rPr>
        <w:t xml:space="preserve"> </w:t>
      </w:r>
      <w:r>
        <w:rPr>
          <w:rFonts w:ascii="Arial" w:cs="Arial" w:eastAsia="Arial" w:hAnsi="Arial"/>
          <w:sz w:val="19"/>
          <w:szCs w:val="19"/>
          <w:color w:val="auto"/>
        </w:rPr>
        <w:t>doi:</w:t>
      </w:r>
      <w:hyperlink r:id="rId55">
        <w:r>
          <w:rPr>
            <w:rFonts w:ascii="Arial" w:cs="Arial" w:eastAsia="Arial" w:hAnsi="Arial"/>
            <w:sz w:val="19"/>
            <w:szCs w:val="19"/>
            <w:color w:val="000080"/>
          </w:rPr>
          <w:t>10.1016/j.</w:t>
        </w:r>
      </w:hyperlink>
      <w:r>
        <w:rPr>
          <w:rFonts w:ascii="Arial" w:cs="Arial" w:eastAsia="Arial" w:hAnsi="Arial"/>
          <w:sz w:val="19"/>
          <w:szCs w:val="19"/>
          <w:i w:val="1"/>
          <w:iCs w:val="1"/>
          <w:color w:val="auto"/>
        </w:rPr>
        <w:t xml:space="preserve"> </w:t>
      </w:r>
      <w:hyperlink r:id="rId55">
        <w:r>
          <w:rPr>
            <w:rFonts w:ascii="Arial" w:cs="Arial" w:eastAsia="Arial" w:hAnsi="Arial"/>
            <w:sz w:val="19"/>
            <w:szCs w:val="19"/>
            <w:color w:val="000080"/>
          </w:rPr>
          <w:t>pmr.2015.06.008</w:t>
        </w:r>
      </w:hyperlink>
      <w:r>
        <w:rPr>
          <w:rFonts w:ascii="Arial" w:cs="Arial" w:eastAsia="Arial" w:hAnsi="Arial"/>
          <w:sz w:val="19"/>
          <w:szCs w:val="19"/>
          <w:color w:val="000000"/>
        </w:rPr>
        <w:t>.</w:t>
      </w:r>
    </w:p>
    <w:p>
      <w:pPr>
        <w:spacing w:after="0" w:line="2" w:lineRule="exact"/>
        <w:rPr>
          <w:rFonts w:ascii="Arial" w:cs="Arial" w:eastAsia="Arial" w:hAnsi="Arial"/>
          <w:sz w:val="19"/>
          <w:szCs w:val="19"/>
          <w:color w:val="000080"/>
        </w:rPr>
      </w:pPr>
    </w:p>
    <w:p>
      <w:pPr>
        <w:jc w:val="both"/>
        <w:ind w:left="480" w:hanging="224"/>
        <w:spacing w:after="0" w:line="273" w:lineRule="auto"/>
        <w:tabs>
          <w:tab w:leader="none" w:pos="480" w:val="left"/>
        </w:tabs>
        <w:numPr>
          <w:ilvl w:val="0"/>
          <w:numId w:val="4"/>
        </w:numPr>
        <w:rPr>
          <w:rFonts w:ascii="Arial" w:cs="Arial" w:eastAsia="Arial" w:hAnsi="Arial"/>
          <w:sz w:val="19"/>
          <w:szCs w:val="19"/>
          <w:color w:val="000080"/>
        </w:rPr>
      </w:pPr>
      <w:r>
        <w:rPr>
          <w:rFonts w:ascii="Arial" w:cs="Arial" w:eastAsia="Arial" w:hAnsi="Arial"/>
          <w:sz w:val="19"/>
          <w:szCs w:val="19"/>
          <w:color w:val="auto"/>
        </w:rPr>
        <w:t xml:space="preserve">Daly JJ, Ruff RL. Construction of efficacious gait and upper limb functional interventions based on brain plasticity evidence and model-based measures for stroke patients. </w:t>
      </w:r>
      <w:r>
        <w:rPr>
          <w:rFonts w:ascii="Arial" w:cs="Arial" w:eastAsia="Arial" w:hAnsi="Arial"/>
          <w:sz w:val="19"/>
          <w:szCs w:val="19"/>
          <w:i w:val="1"/>
          <w:iCs w:val="1"/>
          <w:color w:val="auto"/>
        </w:rPr>
        <w:t>Sci World J</w:t>
      </w:r>
      <w:r>
        <w:rPr>
          <w:rFonts w:ascii="Arial" w:cs="Arial" w:eastAsia="Arial" w:hAnsi="Arial"/>
          <w:sz w:val="19"/>
          <w:szCs w:val="19"/>
          <w:color w:val="auto"/>
        </w:rPr>
        <w:t xml:space="preserve">. </w:t>
      </w:r>
      <w:hyperlink w:anchor="page2">
        <w:r>
          <w:rPr>
            <w:rFonts w:ascii="Arial" w:cs="Arial" w:eastAsia="Arial" w:hAnsi="Arial"/>
            <w:sz w:val="19"/>
            <w:szCs w:val="19"/>
            <w:color w:val="000080"/>
          </w:rPr>
          <w:t>2007</w:t>
        </w:r>
      </w:hyperlink>
      <w:r>
        <w:rPr>
          <w:rFonts w:ascii="Arial" w:cs="Arial" w:eastAsia="Arial" w:hAnsi="Arial"/>
          <w:sz w:val="19"/>
          <w:szCs w:val="19"/>
          <w:color w:val="auto"/>
        </w:rPr>
        <w:t>;7:2031–2045. doi:</w:t>
      </w:r>
      <w:hyperlink r:id="rId56">
        <w:r>
          <w:rPr>
            <w:rFonts w:ascii="Arial" w:cs="Arial" w:eastAsia="Arial" w:hAnsi="Arial"/>
            <w:sz w:val="19"/>
            <w:szCs w:val="19"/>
            <w:color w:val="000080"/>
          </w:rPr>
          <w:t>10.1100/</w:t>
        </w:r>
      </w:hyperlink>
      <w:r>
        <w:rPr>
          <w:rFonts w:ascii="Arial" w:cs="Arial" w:eastAsia="Arial" w:hAnsi="Arial"/>
          <w:sz w:val="19"/>
          <w:szCs w:val="19"/>
          <w:color w:val="auto"/>
        </w:rPr>
        <w:t xml:space="preserve"> </w:t>
      </w:r>
      <w:hyperlink r:id="rId56">
        <w:r>
          <w:rPr>
            <w:rFonts w:ascii="Arial" w:cs="Arial" w:eastAsia="Arial" w:hAnsi="Arial"/>
            <w:sz w:val="19"/>
            <w:szCs w:val="19"/>
            <w:color w:val="000080"/>
          </w:rPr>
          <w:t>tsw.2007.299</w:t>
        </w:r>
      </w:hyperlink>
      <w:r>
        <w:rPr>
          <w:rFonts w:ascii="Arial" w:cs="Arial" w:eastAsia="Arial" w:hAnsi="Arial"/>
          <w:sz w:val="19"/>
          <w:szCs w:val="19"/>
          <w:color w:val="000000"/>
        </w:rPr>
        <w:t>.</w:t>
      </w:r>
    </w:p>
    <w:p>
      <w:pPr>
        <w:spacing w:after="0" w:line="2" w:lineRule="exact"/>
        <w:rPr>
          <w:rFonts w:ascii="Arial" w:cs="Arial" w:eastAsia="Arial" w:hAnsi="Arial"/>
          <w:sz w:val="19"/>
          <w:szCs w:val="19"/>
          <w:color w:val="000080"/>
        </w:rPr>
      </w:pPr>
    </w:p>
    <w:p>
      <w:pPr>
        <w:jc w:val="both"/>
        <w:ind w:left="480" w:hanging="224"/>
        <w:spacing w:after="0" w:line="287" w:lineRule="auto"/>
        <w:tabs>
          <w:tab w:leader="none" w:pos="480" w:val="left"/>
        </w:tabs>
        <w:numPr>
          <w:ilvl w:val="0"/>
          <w:numId w:val="4"/>
        </w:numPr>
        <w:rPr>
          <w:rFonts w:ascii="Arial" w:cs="Arial" w:eastAsia="Arial" w:hAnsi="Arial"/>
          <w:sz w:val="18"/>
          <w:szCs w:val="18"/>
          <w:color w:val="000080"/>
        </w:rPr>
      </w:pPr>
      <w:r>
        <w:rPr>
          <w:rFonts w:ascii="Arial" w:cs="Arial" w:eastAsia="Arial" w:hAnsi="Arial"/>
          <w:sz w:val="18"/>
          <w:szCs w:val="18"/>
          <w:color w:val="auto"/>
        </w:rPr>
        <w:t xml:space="preserve">Cramer SC. Repairing the human brain after stroke: i. Mechanisms of spontaneous recovery. </w:t>
      </w:r>
      <w:r>
        <w:rPr>
          <w:rFonts w:ascii="Arial" w:cs="Arial" w:eastAsia="Arial" w:hAnsi="Arial"/>
          <w:sz w:val="18"/>
          <w:szCs w:val="18"/>
          <w:i w:val="1"/>
          <w:iCs w:val="1"/>
          <w:color w:val="auto"/>
        </w:rPr>
        <w:t>Ann Neurol</w:t>
      </w:r>
      <w:r>
        <w:rPr>
          <w:rFonts w:ascii="Arial" w:cs="Arial" w:eastAsia="Arial" w:hAnsi="Arial"/>
          <w:sz w:val="18"/>
          <w:szCs w:val="18"/>
          <w:color w:val="auto"/>
        </w:rPr>
        <w:t xml:space="preserve">. </w:t>
      </w:r>
      <w:hyperlink w:anchor="page2">
        <w:r>
          <w:rPr>
            <w:rFonts w:ascii="Arial" w:cs="Arial" w:eastAsia="Arial" w:hAnsi="Arial"/>
            <w:sz w:val="18"/>
            <w:szCs w:val="18"/>
            <w:color w:val="000080"/>
          </w:rPr>
          <w:t>2008</w:t>
        </w:r>
      </w:hyperlink>
      <w:r>
        <w:rPr>
          <w:rFonts w:ascii="Arial" w:cs="Arial" w:eastAsia="Arial" w:hAnsi="Arial"/>
          <w:sz w:val="18"/>
          <w:szCs w:val="18"/>
          <w:color w:val="000000"/>
        </w:rPr>
        <w:t>;63(3):272–287.</w:t>
      </w:r>
      <w:r>
        <w:rPr>
          <w:rFonts w:ascii="Arial" w:cs="Arial" w:eastAsia="Arial" w:hAnsi="Arial"/>
          <w:sz w:val="18"/>
          <w:szCs w:val="18"/>
          <w:color w:val="000080"/>
        </w:rPr>
        <w:t xml:space="preserve"> </w:t>
      </w:r>
      <w:r>
        <w:rPr>
          <w:rFonts w:ascii="Arial" w:cs="Arial" w:eastAsia="Arial" w:hAnsi="Arial"/>
          <w:sz w:val="18"/>
          <w:szCs w:val="18"/>
          <w:color w:val="000000"/>
        </w:rPr>
        <w:t>doi:</w:t>
      </w:r>
      <w:hyperlink r:id="rId57">
        <w:r>
          <w:rPr>
            <w:rFonts w:ascii="Arial" w:cs="Arial" w:eastAsia="Arial" w:hAnsi="Arial"/>
            <w:sz w:val="18"/>
            <w:szCs w:val="18"/>
            <w:color w:val="000080"/>
          </w:rPr>
          <w:t>10.1002/ana.21393</w:t>
        </w:r>
      </w:hyperlink>
      <w:r>
        <w:rPr>
          <w:rFonts w:ascii="Arial" w:cs="Arial" w:eastAsia="Arial" w:hAnsi="Arial"/>
          <w:sz w:val="18"/>
          <w:szCs w:val="18"/>
          <w:color w:val="000000"/>
        </w:rPr>
        <w:t>.</w:t>
      </w:r>
    </w:p>
    <w:p>
      <w:pPr>
        <w:jc w:val="both"/>
        <w:ind w:left="480" w:hanging="224"/>
        <w:spacing w:after="0" w:line="287" w:lineRule="auto"/>
        <w:tabs>
          <w:tab w:leader="none" w:pos="480" w:val="left"/>
        </w:tabs>
        <w:numPr>
          <w:ilvl w:val="0"/>
          <w:numId w:val="4"/>
        </w:numPr>
        <w:rPr>
          <w:rFonts w:ascii="Arial" w:cs="Arial" w:eastAsia="Arial" w:hAnsi="Arial"/>
          <w:sz w:val="19"/>
          <w:szCs w:val="19"/>
          <w:color w:val="000080"/>
        </w:rPr>
      </w:pPr>
      <w:r>
        <w:rPr>
          <w:rFonts w:ascii="Arial" w:cs="Arial" w:eastAsia="Arial" w:hAnsi="Arial"/>
          <w:sz w:val="19"/>
          <w:szCs w:val="19"/>
          <w:color w:val="auto"/>
        </w:rPr>
        <w:t xml:space="preserve">Hara Y. Brain plasticity and rehabilitation in stroke patients. </w:t>
      </w:r>
      <w:r>
        <w:rPr>
          <w:rFonts w:ascii="Arial" w:cs="Arial" w:eastAsia="Arial" w:hAnsi="Arial"/>
          <w:sz w:val="19"/>
          <w:szCs w:val="19"/>
          <w:i w:val="1"/>
          <w:iCs w:val="1"/>
          <w:color w:val="auto"/>
        </w:rPr>
        <w:t>J Nippon Med Sch</w:t>
      </w:r>
      <w:r>
        <w:rPr>
          <w:rFonts w:ascii="Arial" w:cs="Arial" w:eastAsia="Arial" w:hAnsi="Arial"/>
          <w:sz w:val="19"/>
          <w:szCs w:val="19"/>
          <w:color w:val="auto"/>
        </w:rPr>
        <w:t xml:space="preserve">. </w:t>
      </w:r>
      <w:hyperlink w:anchor="page2">
        <w:r>
          <w:rPr>
            <w:rFonts w:ascii="Arial" w:cs="Arial" w:eastAsia="Arial" w:hAnsi="Arial"/>
            <w:sz w:val="19"/>
            <w:szCs w:val="19"/>
            <w:color w:val="000080"/>
          </w:rPr>
          <w:t>2015</w:t>
        </w:r>
      </w:hyperlink>
      <w:r>
        <w:rPr>
          <w:rFonts w:ascii="Arial" w:cs="Arial" w:eastAsia="Arial" w:hAnsi="Arial"/>
          <w:sz w:val="19"/>
          <w:szCs w:val="19"/>
          <w:color w:val="auto"/>
        </w:rPr>
        <w:t>;82(1):4–13. doi:</w:t>
      </w:r>
      <w:hyperlink r:id="rId58">
        <w:r>
          <w:rPr>
            <w:rFonts w:ascii="Arial" w:cs="Arial" w:eastAsia="Arial" w:hAnsi="Arial"/>
            <w:sz w:val="19"/>
            <w:szCs w:val="19"/>
            <w:color w:val="000080"/>
          </w:rPr>
          <w:t>10.1272/</w:t>
        </w:r>
      </w:hyperlink>
      <w:r>
        <w:rPr>
          <w:rFonts w:ascii="Arial" w:cs="Arial" w:eastAsia="Arial" w:hAnsi="Arial"/>
          <w:sz w:val="19"/>
          <w:szCs w:val="19"/>
          <w:color w:val="auto"/>
        </w:rPr>
        <w:t xml:space="preserve"> </w:t>
      </w:r>
      <w:hyperlink r:id="rId58">
        <w:r>
          <w:rPr>
            <w:rFonts w:ascii="Arial" w:cs="Arial" w:eastAsia="Arial" w:hAnsi="Arial"/>
            <w:sz w:val="19"/>
            <w:szCs w:val="19"/>
            <w:color w:val="000080"/>
          </w:rPr>
          <w:t>jnms.82.4</w:t>
        </w:r>
      </w:hyperlink>
      <w:r>
        <w:rPr>
          <w:rFonts w:ascii="Arial" w:cs="Arial" w:eastAsia="Arial" w:hAnsi="Arial"/>
          <w:sz w:val="19"/>
          <w:szCs w:val="19"/>
          <w:color w:val="000000"/>
        </w:rPr>
        <w:t>.</w:t>
      </w:r>
    </w:p>
    <w:p>
      <w:pPr>
        <w:spacing w:after="0" w:line="20" w:lineRule="exact"/>
        <w:rPr>
          <w:rFonts w:ascii="Arial" w:cs="Arial" w:eastAsia="Arial" w:hAnsi="Arial"/>
          <w:sz w:val="19"/>
          <w:szCs w:val="19"/>
          <w:color w:val="auto"/>
        </w:rPr>
      </w:pPr>
      <w:r>
        <w:rPr>
          <w:rFonts w:ascii="Arial" w:cs="Arial" w:eastAsia="Arial" w:hAnsi="Arial"/>
          <w:sz w:val="19"/>
          <w:szCs w:val="19"/>
          <w:color w:val="auto"/>
        </w:rPr>
        <w:br w:type="column"/>
      </w:r>
    </w:p>
    <w:p>
      <w:pPr>
        <w:spacing w:after="0" w:line="200" w:lineRule="exact"/>
        <w:rPr>
          <w:rFonts w:ascii="Arial" w:cs="Arial" w:eastAsia="Arial" w:hAnsi="Arial"/>
          <w:sz w:val="19"/>
          <w:szCs w:val="19"/>
          <w:color w:val="auto"/>
        </w:rPr>
      </w:pPr>
    </w:p>
    <w:p>
      <w:pPr>
        <w:spacing w:after="0" w:line="326" w:lineRule="exact"/>
        <w:rPr>
          <w:rFonts w:ascii="Arial" w:cs="Arial" w:eastAsia="Arial" w:hAnsi="Arial"/>
          <w:sz w:val="19"/>
          <w:szCs w:val="19"/>
          <w:color w:val="auto"/>
        </w:rPr>
      </w:pPr>
    </w:p>
    <w:p>
      <w:pPr>
        <w:jc w:val="both"/>
        <w:ind w:left="316" w:hanging="224"/>
        <w:spacing w:after="0" w:line="264" w:lineRule="auto"/>
        <w:tabs>
          <w:tab w:leader="none" w:pos="316" w:val="left"/>
        </w:tabs>
        <w:numPr>
          <w:ilvl w:val="0"/>
          <w:numId w:val="5"/>
        </w:numPr>
        <w:rPr>
          <w:rFonts w:ascii="Arial" w:cs="Arial" w:eastAsia="Arial" w:hAnsi="Arial"/>
          <w:sz w:val="19"/>
          <w:szCs w:val="19"/>
          <w:color w:val="000080"/>
        </w:rPr>
      </w:pPr>
      <w:r>
        <w:rPr>
          <w:rFonts w:ascii="Arial" w:cs="Arial" w:eastAsia="Arial" w:hAnsi="Arial"/>
          <w:sz w:val="19"/>
          <w:szCs w:val="19"/>
          <w:color w:val="auto"/>
        </w:rPr>
        <w:t xml:space="preserve">Bütefisch CM. Plasticity in the human cerebral cortex: lessons from the normal brain and from stroke. </w:t>
      </w:r>
      <w:r>
        <w:rPr>
          <w:rFonts w:ascii="Arial" w:cs="Arial" w:eastAsia="Arial" w:hAnsi="Arial"/>
          <w:sz w:val="19"/>
          <w:szCs w:val="19"/>
          <w:i w:val="1"/>
          <w:iCs w:val="1"/>
          <w:color w:val="auto"/>
        </w:rPr>
        <w:t>Neuroscientist</w:t>
      </w:r>
      <w:r>
        <w:rPr>
          <w:rFonts w:ascii="Arial" w:cs="Arial" w:eastAsia="Arial" w:hAnsi="Arial"/>
          <w:sz w:val="19"/>
          <w:szCs w:val="19"/>
          <w:color w:val="auto"/>
        </w:rPr>
        <w:t>.</w:t>
      </w:r>
      <w:r>
        <w:rPr>
          <w:rFonts w:ascii="Arial" w:cs="Arial" w:eastAsia="Arial" w:hAnsi="Arial"/>
          <w:sz w:val="19"/>
          <w:szCs w:val="19"/>
          <w:i w:val="1"/>
          <w:iCs w:val="1"/>
          <w:color w:val="auto"/>
        </w:rPr>
        <w:t xml:space="preserve"> </w:t>
      </w:r>
      <w:hyperlink w:anchor="page2">
        <w:r>
          <w:rPr>
            <w:rFonts w:ascii="Arial" w:cs="Arial" w:eastAsia="Arial" w:hAnsi="Arial"/>
            <w:sz w:val="19"/>
            <w:szCs w:val="19"/>
            <w:color w:val="000080"/>
          </w:rPr>
          <w:t>2004</w:t>
        </w:r>
      </w:hyperlink>
      <w:r>
        <w:rPr>
          <w:rFonts w:ascii="Arial" w:cs="Arial" w:eastAsia="Arial" w:hAnsi="Arial"/>
          <w:sz w:val="19"/>
          <w:szCs w:val="19"/>
          <w:color w:val="auto"/>
        </w:rPr>
        <w:t>;10(2):163–173.</w:t>
      </w:r>
      <w:r>
        <w:rPr>
          <w:rFonts w:ascii="Arial" w:cs="Arial" w:eastAsia="Arial" w:hAnsi="Arial"/>
          <w:sz w:val="19"/>
          <w:szCs w:val="19"/>
          <w:i w:val="1"/>
          <w:iCs w:val="1"/>
          <w:color w:val="auto"/>
        </w:rPr>
        <w:t xml:space="preserve"> </w:t>
      </w:r>
      <w:r>
        <w:rPr>
          <w:rFonts w:ascii="Arial" w:cs="Arial" w:eastAsia="Arial" w:hAnsi="Arial"/>
          <w:sz w:val="19"/>
          <w:szCs w:val="19"/>
          <w:color w:val="auto"/>
        </w:rPr>
        <w:t>doi:</w:t>
      </w:r>
      <w:hyperlink r:id="rId59">
        <w:r>
          <w:rPr>
            <w:rFonts w:ascii="Arial" w:cs="Arial" w:eastAsia="Arial" w:hAnsi="Arial"/>
            <w:sz w:val="19"/>
            <w:szCs w:val="19"/>
            <w:color w:val="000080"/>
          </w:rPr>
          <w:t>10.1177/</w:t>
        </w:r>
      </w:hyperlink>
      <w:r>
        <w:rPr>
          <w:rFonts w:ascii="Arial" w:cs="Arial" w:eastAsia="Arial" w:hAnsi="Arial"/>
          <w:sz w:val="19"/>
          <w:szCs w:val="19"/>
          <w:i w:val="1"/>
          <w:iCs w:val="1"/>
          <w:color w:val="auto"/>
        </w:rPr>
        <w:t xml:space="preserve"> </w:t>
      </w:r>
      <w:hyperlink r:id="rId59">
        <w:r>
          <w:rPr>
            <w:rFonts w:ascii="Arial" w:cs="Arial" w:eastAsia="Arial" w:hAnsi="Arial"/>
            <w:sz w:val="19"/>
            <w:szCs w:val="19"/>
            <w:color w:val="000080"/>
          </w:rPr>
          <w:t>1073858403262152</w:t>
        </w:r>
      </w:hyperlink>
      <w:r>
        <w:rPr>
          <w:rFonts w:ascii="Arial" w:cs="Arial" w:eastAsia="Arial" w:hAnsi="Arial"/>
          <w:sz w:val="19"/>
          <w:szCs w:val="19"/>
          <w:color w:val="000000"/>
        </w:rPr>
        <w:t>.</w:t>
      </w:r>
    </w:p>
    <w:p>
      <w:pPr>
        <w:jc w:val="both"/>
        <w:ind w:left="316" w:hanging="224"/>
        <w:spacing w:after="0" w:line="263" w:lineRule="auto"/>
        <w:tabs>
          <w:tab w:leader="none" w:pos="316" w:val="left"/>
        </w:tabs>
        <w:numPr>
          <w:ilvl w:val="0"/>
          <w:numId w:val="5"/>
        </w:numPr>
        <w:rPr>
          <w:rFonts w:ascii="Arial" w:cs="Arial" w:eastAsia="Arial" w:hAnsi="Arial"/>
          <w:sz w:val="19"/>
          <w:szCs w:val="19"/>
          <w:color w:val="000080"/>
        </w:rPr>
      </w:pPr>
      <w:r>
        <w:rPr>
          <w:rFonts w:ascii="Arial" w:cs="Arial" w:eastAsia="Arial" w:hAnsi="Arial"/>
          <w:sz w:val="19"/>
          <w:szCs w:val="19"/>
          <w:color w:val="auto"/>
        </w:rPr>
        <w:t xml:space="preserve">Sang-Bae K, Yoon B-W. Mechanisms of functional recovery after stroke J . </w:t>
      </w:r>
      <w:r>
        <w:rPr>
          <w:rFonts w:ascii="Arial" w:cs="Arial" w:eastAsia="Arial" w:hAnsi="Arial"/>
          <w:sz w:val="19"/>
          <w:szCs w:val="19"/>
          <w:i w:val="1"/>
          <w:iCs w:val="1"/>
          <w:color w:val="auto"/>
        </w:rPr>
        <w:t>Front Neurol Neurosci</w:t>
      </w:r>
      <w:r>
        <w:rPr>
          <w:rFonts w:ascii="Arial" w:cs="Arial" w:eastAsia="Arial" w:hAnsi="Arial"/>
          <w:sz w:val="19"/>
          <w:szCs w:val="19"/>
          <w:color w:val="auto"/>
        </w:rPr>
        <w:t xml:space="preserve">. </w:t>
      </w:r>
      <w:hyperlink w:anchor="page3">
        <w:r>
          <w:rPr>
            <w:rFonts w:ascii="Arial" w:cs="Arial" w:eastAsia="Arial" w:hAnsi="Arial"/>
            <w:sz w:val="19"/>
            <w:szCs w:val="19"/>
            <w:color w:val="000080"/>
          </w:rPr>
          <w:t>2013</w:t>
        </w:r>
      </w:hyperlink>
      <w:r>
        <w:rPr>
          <w:rFonts w:ascii="Arial" w:cs="Arial" w:eastAsia="Arial" w:hAnsi="Arial"/>
          <w:sz w:val="19"/>
          <w:szCs w:val="19"/>
          <w:color w:val="000000"/>
        </w:rPr>
        <w:t>;32:1–8.</w:t>
      </w:r>
    </w:p>
    <w:p>
      <w:pPr>
        <w:spacing w:after="0" w:line="1" w:lineRule="exact"/>
        <w:rPr>
          <w:rFonts w:ascii="Arial" w:cs="Arial" w:eastAsia="Arial" w:hAnsi="Arial"/>
          <w:sz w:val="19"/>
          <w:szCs w:val="19"/>
          <w:color w:val="000080"/>
        </w:rPr>
      </w:pPr>
    </w:p>
    <w:p>
      <w:pPr>
        <w:jc w:val="both"/>
        <w:ind w:left="316" w:hanging="224"/>
        <w:spacing w:after="0" w:line="313" w:lineRule="auto"/>
        <w:tabs>
          <w:tab w:leader="none" w:pos="316" w:val="left"/>
        </w:tabs>
        <w:numPr>
          <w:ilvl w:val="0"/>
          <w:numId w:val="5"/>
        </w:numPr>
        <w:rPr>
          <w:rFonts w:ascii="Arial" w:cs="Arial" w:eastAsia="Arial" w:hAnsi="Arial"/>
          <w:sz w:val="16"/>
          <w:szCs w:val="16"/>
          <w:color w:val="000080"/>
        </w:rPr>
      </w:pPr>
      <w:r>
        <w:rPr>
          <w:rFonts w:ascii="Arial" w:cs="Arial" w:eastAsia="Arial" w:hAnsi="Arial"/>
          <w:sz w:val="16"/>
          <w:szCs w:val="16"/>
          <w:color w:val="auto"/>
        </w:rPr>
        <w:t xml:space="preserve">Li C, Liu F, Peng H, et al. The positive effect of venlafaxine on central motor conduction J . </w:t>
      </w:r>
      <w:r>
        <w:rPr>
          <w:rFonts w:ascii="Arial" w:cs="Arial" w:eastAsia="Arial" w:hAnsi="Arial"/>
          <w:sz w:val="16"/>
          <w:szCs w:val="16"/>
          <w:i w:val="1"/>
          <w:iCs w:val="1"/>
          <w:color w:val="auto"/>
        </w:rPr>
        <w:t>Clin Neurol Neurosurg</w:t>
      </w:r>
      <w:r>
        <w:rPr>
          <w:rFonts w:ascii="Arial" w:cs="Arial" w:eastAsia="Arial" w:hAnsi="Arial"/>
          <w:sz w:val="16"/>
          <w:szCs w:val="16"/>
          <w:color w:val="auto"/>
        </w:rPr>
        <w:t xml:space="preserve">. </w:t>
      </w:r>
      <w:hyperlink w:anchor="page4">
        <w:r>
          <w:rPr>
            <w:rFonts w:ascii="Arial" w:cs="Arial" w:eastAsia="Arial" w:hAnsi="Arial"/>
            <w:sz w:val="16"/>
            <w:szCs w:val="16"/>
            <w:color w:val="000080"/>
          </w:rPr>
          <w:t>2018</w:t>
        </w:r>
      </w:hyperlink>
      <w:r>
        <w:rPr>
          <w:rFonts w:ascii="Arial" w:cs="Arial" w:eastAsia="Arial" w:hAnsi="Arial"/>
          <w:sz w:val="16"/>
          <w:szCs w:val="16"/>
          <w:color w:val="000000"/>
        </w:rPr>
        <w:t>;167:65–69.</w:t>
      </w:r>
      <w:r>
        <w:rPr>
          <w:rFonts w:ascii="Arial" w:cs="Arial" w:eastAsia="Arial" w:hAnsi="Arial"/>
          <w:sz w:val="16"/>
          <w:szCs w:val="16"/>
          <w:color w:val="000080"/>
        </w:rPr>
        <w:t xml:space="preserve"> </w:t>
      </w:r>
      <w:r>
        <w:rPr>
          <w:rFonts w:ascii="Arial" w:cs="Arial" w:eastAsia="Arial" w:hAnsi="Arial"/>
          <w:sz w:val="16"/>
          <w:szCs w:val="16"/>
          <w:color w:val="000000"/>
        </w:rPr>
        <w:t>doi:</w:t>
      </w:r>
      <w:hyperlink r:id="rId60">
        <w:r>
          <w:rPr>
            <w:rFonts w:ascii="Arial" w:cs="Arial" w:eastAsia="Arial" w:hAnsi="Arial"/>
            <w:sz w:val="16"/>
            <w:szCs w:val="16"/>
            <w:color w:val="000080"/>
          </w:rPr>
          <w:t>10.1016/j.clineuro.2018.02.017</w:t>
        </w:r>
      </w:hyperlink>
      <w:r>
        <w:rPr>
          <w:rFonts w:ascii="Arial" w:cs="Arial" w:eastAsia="Arial" w:hAnsi="Arial"/>
          <w:sz w:val="16"/>
          <w:szCs w:val="16"/>
          <w:color w:val="000000"/>
        </w:rPr>
        <w:t>.</w:t>
      </w:r>
    </w:p>
    <w:p>
      <w:pPr>
        <w:jc w:val="both"/>
        <w:ind w:left="316" w:hanging="224"/>
        <w:spacing w:after="0" w:line="294" w:lineRule="auto"/>
        <w:tabs>
          <w:tab w:leader="none" w:pos="316" w:val="left"/>
        </w:tabs>
        <w:numPr>
          <w:ilvl w:val="0"/>
          <w:numId w:val="5"/>
        </w:numPr>
        <w:rPr>
          <w:rFonts w:ascii="Arial" w:cs="Arial" w:eastAsia="Arial" w:hAnsi="Arial"/>
          <w:sz w:val="17"/>
          <w:szCs w:val="17"/>
          <w:color w:val="000080"/>
        </w:rPr>
      </w:pPr>
      <w:r>
        <w:rPr>
          <w:rFonts w:ascii="Arial" w:cs="Arial" w:eastAsia="Arial" w:hAnsi="Arial"/>
          <w:sz w:val="17"/>
          <w:szCs w:val="17"/>
          <w:color w:val="auto"/>
        </w:rPr>
        <w:t xml:space="preserve">Calautti C, Leroy F, Guincestre J-Y, et al. Dynamics of motor network overactivation after striatocapsular stroke: a longitudinal PET study using a fixed-performance para-digm J . </w:t>
      </w:r>
      <w:r>
        <w:rPr>
          <w:rFonts w:ascii="Arial" w:cs="Arial" w:eastAsia="Arial" w:hAnsi="Arial"/>
          <w:sz w:val="17"/>
          <w:szCs w:val="17"/>
          <w:i w:val="1"/>
          <w:iCs w:val="1"/>
          <w:color w:val="auto"/>
        </w:rPr>
        <w:t>Stroke</w:t>
      </w:r>
      <w:r>
        <w:rPr>
          <w:rFonts w:ascii="Arial" w:cs="Arial" w:eastAsia="Arial" w:hAnsi="Arial"/>
          <w:sz w:val="17"/>
          <w:szCs w:val="17"/>
          <w:color w:val="auto"/>
        </w:rPr>
        <w:t xml:space="preserve">. </w:t>
      </w:r>
      <w:hyperlink w:anchor="page10">
        <w:r>
          <w:rPr>
            <w:rFonts w:ascii="Arial" w:cs="Arial" w:eastAsia="Arial" w:hAnsi="Arial"/>
            <w:sz w:val="17"/>
            <w:szCs w:val="17"/>
            <w:color w:val="000080"/>
          </w:rPr>
          <w:t>2001</w:t>
        </w:r>
      </w:hyperlink>
      <w:r>
        <w:rPr>
          <w:rFonts w:ascii="Arial" w:cs="Arial" w:eastAsia="Arial" w:hAnsi="Arial"/>
          <w:sz w:val="17"/>
          <w:szCs w:val="17"/>
          <w:color w:val="auto"/>
        </w:rPr>
        <w:t>;32(11):2534–2542. doi:</w:t>
      </w:r>
      <w:hyperlink r:id="rId61">
        <w:r>
          <w:rPr>
            <w:rFonts w:ascii="Arial" w:cs="Arial" w:eastAsia="Arial" w:hAnsi="Arial"/>
            <w:sz w:val="17"/>
            <w:szCs w:val="17"/>
            <w:color w:val="000080"/>
          </w:rPr>
          <w:t>10.1161/</w:t>
        </w:r>
      </w:hyperlink>
      <w:r>
        <w:rPr>
          <w:rFonts w:ascii="Arial" w:cs="Arial" w:eastAsia="Arial" w:hAnsi="Arial"/>
          <w:sz w:val="17"/>
          <w:szCs w:val="17"/>
          <w:color w:val="auto"/>
        </w:rPr>
        <w:t xml:space="preserve"> </w:t>
      </w:r>
      <w:hyperlink r:id="rId61">
        <w:r>
          <w:rPr>
            <w:rFonts w:ascii="Arial" w:cs="Arial" w:eastAsia="Arial" w:hAnsi="Arial"/>
            <w:sz w:val="17"/>
            <w:szCs w:val="17"/>
            <w:color w:val="000080"/>
          </w:rPr>
          <w:t>hs1101.097401</w:t>
        </w:r>
      </w:hyperlink>
      <w:r>
        <w:rPr>
          <w:rFonts w:ascii="Arial" w:cs="Arial" w:eastAsia="Arial" w:hAnsi="Arial"/>
          <w:sz w:val="17"/>
          <w:szCs w:val="17"/>
          <w:color w:val="000000"/>
        </w:rPr>
        <w:t>.</w:t>
      </w:r>
    </w:p>
    <w:p>
      <w:pPr>
        <w:spacing w:after="0" w:line="3" w:lineRule="exact"/>
        <w:rPr>
          <w:rFonts w:ascii="Arial" w:cs="Arial" w:eastAsia="Arial" w:hAnsi="Arial"/>
          <w:sz w:val="17"/>
          <w:szCs w:val="17"/>
          <w:color w:val="000080"/>
        </w:rPr>
      </w:pPr>
    </w:p>
    <w:p>
      <w:pPr>
        <w:jc w:val="both"/>
        <w:ind w:left="316" w:hanging="224"/>
        <w:spacing w:after="0" w:line="278" w:lineRule="auto"/>
        <w:tabs>
          <w:tab w:leader="none" w:pos="316" w:val="left"/>
        </w:tabs>
        <w:numPr>
          <w:ilvl w:val="0"/>
          <w:numId w:val="5"/>
        </w:numPr>
        <w:rPr>
          <w:rFonts w:ascii="Arial" w:cs="Arial" w:eastAsia="Arial" w:hAnsi="Arial"/>
          <w:sz w:val="18"/>
          <w:szCs w:val="18"/>
          <w:color w:val="000080"/>
        </w:rPr>
      </w:pPr>
      <w:r>
        <w:rPr>
          <w:rFonts w:ascii="Arial" w:cs="Arial" w:eastAsia="Arial" w:hAnsi="Arial"/>
          <w:sz w:val="18"/>
          <w:szCs w:val="18"/>
          <w:color w:val="auto"/>
        </w:rPr>
        <w:t xml:space="preserve">Marshall RS, Perera GM, Lazar RM, et al. Evolution of Cortical Activation During Recovery From Corticospinal Tract Infarction. </w:t>
      </w:r>
      <w:r>
        <w:rPr>
          <w:rFonts w:ascii="Arial" w:cs="Arial" w:eastAsia="Arial" w:hAnsi="Arial"/>
          <w:sz w:val="18"/>
          <w:szCs w:val="18"/>
          <w:i w:val="1"/>
          <w:iCs w:val="1"/>
          <w:color w:val="auto"/>
        </w:rPr>
        <w:t>Stroke</w:t>
      </w:r>
      <w:r>
        <w:rPr>
          <w:rFonts w:ascii="Arial" w:cs="Arial" w:eastAsia="Arial" w:hAnsi="Arial"/>
          <w:sz w:val="18"/>
          <w:szCs w:val="18"/>
          <w:color w:val="auto"/>
        </w:rPr>
        <w:t xml:space="preserve">. </w:t>
      </w:r>
      <w:hyperlink w:anchor="page10">
        <w:r>
          <w:rPr>
            <w:rFonts w:ascii="Arial" w:cs="Arial" w:eastAsia="Arial" w:hAnsi="Arial"/>
            <w:sz w:val="18"/>
            <w:szCs w:val="18"/>
            <w:color w:val="000080"/>
          </w:rPr>
          <w:t>2000</w:t>
        </w:r>
      </w:hyperlink>
      <w:r>
        <w:rPr>
          <w:rFonts w:ascii="Arial" w:cs="Arial" w:eastAsia="Arial" w:hAnsi="Arial"/>
          <w:sz w:val="18"/>
          <w:szCs w:val="18"/>
          <w:color w:val="auto"/>
        </w:rPr>
        <w:t>;31(3):656–661. doi:</w:t>
      </w:r>
      <w:hyperlink r:id="rId62">
        <w:r>
          <w:rPr>
            <w:rFonts w:ascii="Arial" w:cs="Arial" w:eastAsia="Arial" w:hAnsi="Arial"/>
            <w:sz w:val="18"/>
            <w:szCs w:val="18"/>
            <w:color w:val="000080"/>
          </w:rPr>
          <w:t>10.1161/</w:t>
        </w:r>
      </w:hyperlink>
      <w:r>
        <w:rPr>
          <w:rFonts w:ascii="Arial" w:cs="Arial" w:eastAsia="Arial" w:hAnsi="Arial"/>
          <w:sz w:val="18"/>
          <w:szCs w:val="18"/>
          <w:color w:val="auto"/>
        </w:rPr>
        <w:t xml:space="preserve"> </w:t>
      </w:r>
      <w:hyperlink r:id="rId62">
        <w:r>
          <w:rPr>
            <w:rFonts w:ascii="Arial" w:cs="Arial" w:eastAsia="Arial" w:hAnsi="Arial"/>
            <w:sz w:val="18"/>
            <w:szCs w:val="18"/>
            <w:color w:val="000080"/>
          </w:rPr>
          <w:t>01.STR.31.3.656</w:t>
        </w:r>
      </w:hyperlink>
      <w:r>
        <w:rPr>
          <w:rFonts w:ascii="Arial" w:cs="Arial" w:eastAsia="Arial" w:hAnsi="Arial"/>
          <w:sz w:val="18"/>
          <w:szCs w:val="18"/>
          <w:color w:val="000000"/>
        </w:rPr>
        <w:t>.</w:t>
      </w:r>
    </w:p>
    <w:p>
      <w:pPr>
        <w:jc w:val="both"/>
        <w:ind w:left="316" w:hanging="316"/>
        <w:spacing w:after="0" w:line="313" w:lineRule="auto"/>
        <w:tabs>
          <w:tab w:leader="none" w:pos="316" w:val="left"/>
        </w:tabs>
        <w:numPr>
          <w:ilvl w:val="0"/>
          <w:numId w:val="5"/>
        </w:numPr>
        <w:rPr>
          <w:rFonts w:ascii="Arial" w:cs="Arial" w:eastAsia="Arial" w:hAnsi="Arial"/>
          <w:sz w:val="16"/>
          <w:szCs w:val="16"/>
          <w:color w:val="auto"/>
        </w:rPr>
      </w:pPr>
      <w:r>
        <w:rPr>
          <w:rFonts w:ascii="Arial" w:cs="Arial" w:eastAsia="Arial" w:hAnsi="Arial"/>
          <w:sz w:val="16"/>
          <w:szCs w:val="16"/>
          <w:color w:val="auto"/>
        </w:rPr>
        <w:t xml:space="preserve">Rehme AK, Eickhoff SB, Wang LE, et al. Dynamic causal modeling of cortical activity from the acute to the chronic stage after stroke J . </w:t>
      </w:r>
      <w:r>
        <w:rPr>
          <w:rFonts w:ascii="Arial" w:cs="Arial" w:eastAsia="Arial" w:hAnsi="Arial"/>
          <w:sz w:val="16"/>
          <w:szCs w:val="16"/>
          <w:i w:val="1"/>
          <w:iCs w:val="1"/>
          <w:color w:val="auto"/>
        </w:rPr>
        <w:t>Neuroimage</w:t>
      </w:r>
      <w:r>
        <w:rPr>
          <w:rFonts w:ascii="Arial" w:cs="Arial" w:eastAsia="Arial" w:hAnsi="Arial"/>
          <w:sz w:val="16"/>
          <w:szCs w:val="16"/>
          <w:color w:val="auto"/>
        </w:rPr>
        <w:t xml:space="preserve">. </w:t>
      </w:r>
      <w:hyperlink w:anchor="page10">
        <w:r>
          <w:rPr>
            <w:rFonts w:ascii="Arial" w:cs="Arial" w:eastAsia="Arial" w:hAnsi="Arial"/>
            <w:sz w:val="16"/>
            <w:szCs w:val="16"/>
            <w:color w:val="000080"/>
          </w:rPr>
          <w:t>2011</w:t>
        </w:r>
      </w:hyperlink>
      <w:r>
        <w:rPr>
          <w:rFonts w:ascii="Arial" w:cs="Arial" w:eastAsia="Arial" w:hAnsi="Arial"/>
          <w:sz w:val="16"/>
          <w:szCs w:val="16"/>
          <w:color w:val="auto"/>
        </w:rPr>
        <w:t>;55(3):1147– 1158. doi:</w:t>
      </w:r>
      <w:hyperlink r:id="rId63">
        <w:r>
          <w:rPr>
            <w:rFonts w:ascii="Arial" w:cs="Arial" w:eastAsia="Arial" w:hAnsi="Arial"/>
            <w:sz w:val="16"/>
            <w:szCs w:val="16"/>
            <w:color w:val="000080"/>
          </w:rPr>
          <w:t>10.1016/j.neuroimage.2011.01.014</w:t>
        </w:r>
      </w:hyperlink>
      <w:r>
        <w:rPr>
          <w:rFonts w:ascii="Arial" w:cs="Arial" w:eastAsia="Arial" w:hAnsi="Arial"/>
          <w:sz w:val="16"/>
          <w:szCs w:val="16"/>
          <w:color w:val="auto"/>
        </w:rPr>
        <w:t>.</w:t>
      </w:r>
    </w:p>
    <w:p>
      <w:pPr>
        <w:jc w:val="both"/>
        <w:ind w:left="316" w:hanging="316"/>
        <w:spacing w:after="0" w:line="263" w:lineRule="auto"/>
        <w:tabs>
          <w:tab w:leader="none" w:pos="316" w:val="left"/>
        </w:tabs>
        <w:numPr>
          <w:ilvl w:val="0"/>
          <w:numId w:val="5"/>
        </w:numPr>
        <w:rPr>
          <w:rFonts w:ascii="Arial" w:cs="Arial" w:eastAsia="Arial" w:hAnsi="Arial"/>
          <w:sz w:val="19"/>
          <w:szCs w:val="19"/>
          <w:color w:val="auto"/>
        </w:rPr>
      </w:pPr>
      <w:r>
        <w:rPr>
          <w:rFonts w:ascii="Arial" w:cs="Arial" w:eastAsia="Arial" w:hAnsi="Arial"/>
          <w:sz w:val="19"/>
          <w:szCs w:val="19"/>
          <w:color w:val="auto"/>
        </w:rPr>
        <w:t xml:space="preserve">Ward NS, Brown MM, Thompson AJ, et al. The influ-ence of time after stroke on brain activations during a motor task J . </w:t>
      </w:r>
      <w:r>
        <w:rPr>
          <w:rFonts w:ascii="Arial" w:cs="Arial" w:eastAsia="Arial" w:hAnsi="Arial"/>
          <w:sz w:val="19"/>
          <w:szCs w:val="19"/>
          <w:i w:val="1"/>
          <w:iCs w:val="1"/>
          <w:color w:val="auto"/>
        </w:rPr>
        <w:t>Ann Neurol</w:t>
      </w:r>
      <w:r>
        <w:rPr>
          <w:rFonts w:ascii="Arial" w:cs="Arial" w:eastAsia="Arial" w:hAnsi="Arial"/>
          <w:sz w:val="19"/>
          <w:szCs w:val="19"/>
          <w:color w:val="auto"/>
        </w:rPr>
        <w:t xml:space="preserve">. </w:t>
      </w:r>
      <w:hyperlink w:anchor="page11">
        <w:r>
          <w:rPr>
            <w:rFonts w:ascii="Arial" w:cs="Arial" w:eastAsia="Arial" w:hAnsi="Arial"/>
            <w:sz w:val="19"/>
            <w:szCs w:val="19"/>
            <w:color w:val="000080"/>
          </w:rPr>
          <w:t>2004</w:t>
        </w:r>
      </w:hyperlink>
      <w:r>
        <w:rPr>
          <w:rFonts w:ascii="Arial" w:cs="Arial" w:eastAsia="Arial" w:hAnsi="Arial"/>
          <w:sz w:val="19"/>
          <w:szCs w:val="19"/>
          <w:color w:val="auto"/>
        </w:rPr>
        <w:t>;55(6):829–834. doi:</w:t>
      </w:r>
      <w:hyperlink r:id="rId64">
        <w:r>
          <w:rPr>
            <w:rFonts w:ascii="Arial" w:cs="Arial" w:eastAsia="Arial" w:hAnsi="Arial"/>
            <w:sz w:val="19"/>
            <w:szCs w:val="19"/>
            <w:color w:val="000080"/>
          </w:rPr>
          <w:t>10.1002/ana.20099</w:t>
        </w:r>
      </w:hyperlink>
      <w:r>
        <w:rPr>
          <w:rFonts w:ascii="Arial" w:cs="Arial" w:eastAsia="Arial" w:hAnsi="Arial"/>
          <w:sz w:val="19"/>
          <w:szCs w:val="19"/>
          <w:color w:val="auto"/>
        </w:rPr>
        <w:t>.</w:t>
      </w:r>
    </w:p>
    <w:p>
      <w:pPr>
        <w:spacing w:after="0" w:line="1" w:lineRule="exact"/>
        <w:rPr>
          <w:rFonts w:ascii="Arial" w:cs="Arial" w:eastAsia="Arial" w:hAnsi="Arial"/>
          <w:sz w:val="19"/>
          <w:szCs w:val="19"/>
          <w:color w:val="auto"/>
        </w:rPr>
      </w:pPr>
    </w:p>
    <w:p>
      <w:pPr>
        <w:jc w:val="both"/>
        <w:ind w:left="316" w:hanging="316"/>
        <w:spacing w:after="0" w:line="263" w:lineRule="auto"/>
        <w:tabs>
          <w:tab w:leader="none" w:pos="316" w:val="left"/>
        </w:tabs>
        <w:numPr>
          <w:ilvl w:val="0"/>
          <w:numId w:val="5"/>
        </w:numPr>
        <w:rPr>
          <w:rFonts w:ascii="Arial" w:cs="Arial" w:eastAsia="Arial" w:hAnsi="Arial"/>
          <w:sz w:val="19"/>
          <w:szCs w:val="19"/>
          <w:color w:val="000080"/>
        </w:rPr>
      </w:pPr>
      <w:r>
        <w:rPr>
          <w:rFonts w:ascii="Arial" w:cs="Arial" w:eastAsia="Arial" w:hAnsi="Arial"/>
          <w:sz w:val="19"/>
          <w:szCs w:val="19"/>
          <w:color w:val="auto"/>
        </w:rPr>
        <w:t xml:space="preserve">Carey JR, Kimberley TJ, Lewis SM, et al. Analysis of fMRI and finger tracking training in subjects with chronic stroke J . </w:t>
      </w:r>
      <w:r>
        <w:rPr>
          <w:rFonts w:ascii="Arial" w:cs="Arial" w:eastAsia="Arial" w:hAnsi="Arial"/>
          <w:sz w:val="19"/>
          <w:szCs w:val="19"/>
          <w:i w:val="1"/>
          <w:iCs w:val="1"/>
          <w:color w:val="auto"/>
        </w:rPr>
        <w:t>Brain</w:t>
      </w:r>
      <w:r>
        <w:rPr>
          <w:rFonts w:ascii="Arial" w:cs="Arial" w:eastAsia="Arial" w:hAnsi="Arial"/>
          <w:sz w:val="19"/>
          <w:szCs w:val="19"/>
          <w:color w:val="auto"/>
        </w:rPr>
        <w:t xml:space="preserve">. </w:t>
      </w:r>
      <w:r>
        <w:rPr>
          <w:rFonts w:ascii="Arial" w:cs="Arial" w:eastAsia="Arial" w:hAnsi="Arial"/>
          <w:sz w:val="19"/>
          <w:szCs w:val="19"/>
          <w:color w:val="000080"/>
        </w:rPr>
        <w:t>2002</w:t>
      </w:r>
      <w:r>
        <w:rPr>
          <w:rFonts w:ascii="Arial" w:cs="Arial" w:eastAsia="Arial" w:hAnsi="Arial"/>
          <w:sz w:val="19"/>
          <w:szCs w:val="19"/>
          <w:color w:val="auto"/>
        </w:rPr>
        <w:t>;125:773–788. doi:</w:t>
      </w:r>
      <w:hyperlink r:id="rId65">
        <w:r>
          <w:rPr>
            <w:rFonts w:ascii="Arial" w:cs="Arial" w:eastAsia="Arial" w:hAnsi="Arial"/>
            <w:sz w:val="19"/>
            <w:szCs w:val="19"/>
            <w:color w:val="000080"/>
          </w:rPr>
          <w:t>10.1093/brain/</w:t>
        </w:r>
      </w:hyperlink>
      <w:r>
        <w:rPr>
          <w:rFonts w:ascii="Arial" w:cs="Arial" w:eastAsia="Arial" w:hAnsi="Arial"/>
          <w:sz w:val="19"/>
          <w:szCs w:val="19"/>
          <w:color w:val="auto"/>
        </w:rPr>
        <w:t xml:space="preserve"> </w:t>
      </w:r>
      <w:hyperlink r:id="rId65">
        <w:r>
          <w:rPr>
            <w:rFonts w:ascii="Arial" w:cs="Arial" w:eastAsia="Arial" w:hAnsi="Arial"/>
            <w:sz w:val="19"/>
            <w:szCs w:val="19"/>
            <w:color w:val="000080"/>
          </w:rPr>
          <w:t>awf091</w:t>
        </w:r>
      </w:hyperlink>
      <w:r>
        <w:rPr>
          <w:rFonts w:ascii="Arial" w:cs="Arial" w:eastAsia="Arial" w:hAnsi="Arial"/>
          <w:sz w:val="19"/>
          <w:szCs w:val="19"/>
          <w:color w:val="000000"/>
        </w:rPr>
        <w:t>.</w:t>
      </w:r>
    </w:p>
    <w:p>
      <w:pPr>
        <w:spacing w:after="0" w:line="2" w:lineRule="exact"/>
        <w:rPr>
          <w:rFonts w:ascii="Arial" w:cs="Arial" w:eastAsia="Arial" w:hAnsi="Arial"/>
          <w:sz w:val="19"/>
          <w:szCs w:val="19"/>
          <w:color w:val="000080"/>
        </w:rPr>
      </w:pPr>
    </w:p>
    <w:p>
      <w:pPr>
        <w:jc w:val="both"/>
        <w:ind w:left="316" w:hanging="316"/>
        <w:spacing w:after="0" w:line="263" w:lineRule="auto"/>
        <w:tabs>
          <w:tab w:leader="none" w:pos="316" w:val="left"/>
        </w:tabs>
        <w:numPr>
          <w:ilvl w:val="0"/>
          <w:numId w:val="5"/>
        </w:numPr>
        <w:rPr>
          <w:rFonts w:ascii="Arial" w:cs="Arial" w:eastAsia="Arial" w:hAnsi="Arial"/>
          <w:sz w:val="19"/>
          <w:szCs w:val="19"/>
          <w:color w:val="000080"/>
        </w:rPr>
      </w:pPr>
      <w:r>
        <w:rPr>
          <w:rFonts w:ascii="Arial" w:cs="Arial" w:eastAsia="Arial" w:hAnsi="Arial"/>
          <w:sz w:val="19"/>
          <w:szCs w:val="19"/>
          <w:color w:val="auto"/>
        </w:rPr>
        <w:t xml:space="preserve">Ward NS, Brown MM, Thompson AJ, et al. Neural corre-lates of motor recovery after stroke: a longitudinal fMRI study J . </w:t>
      </w:r>
      <w:r>
        <w:rPr>
          <w:rFonts w:ascii="Arial" w:cs="Arial" w:eastAsia="Arial" w:hAnsi="Arial"/>
          <w:sz w:val="19"/>
          <w:szCs w:val="19"/>
          <w:i w:val="1"/>
          <w:iCs w:val="1"/>
          <w:color w:val="auto"/>
        </w:rPr>
        <w:t>Brain</w:t>
      </w:r>
      <w:r>
        <w:rPr>
          <w:rFonts w:ascii="Arial" w:cs="Arial" w:eastAsia="Arial" w:hAnsi="Arial"/>
          <w:sz w:val="19"/>
          <w:szCs w:val="19"/>
          <w:color w:val="auto"/>
        </w:rPr>
        <w:t xml:space="preserve">. </w:t>
      </w:r>
      <w:r>
        <w:rPr>
          <w:rFonts w:ascii="Arial" w:cs="Arial" w:eastAsia="Arial" w:hAnsi="Arial"/>
          <w:sz w:val="19"/>
          <w:szCs w:val="19"/>
          <w:color w:val="000080"/>
        </w:rPr>
        <w:t>2003</w:t>
      </w:r>
      <w:r>
        <w:rPr>
          <w:rFonts w:ascii="Arial" w:cs="Arial" w:eastAsia="Arial" w:hAnsi="Arial"/>
          <w:sz w:val="19"/>
          <w:szCs w:val="19"/>
          <w:color w:val="auto"/>
        </w:rPr>
        <w:t>;126:2476–2496. doi:</w:t>
      </w:r>
      <w:hyperlink r:id="rId66">
        <w:r>
          <w:rPr>
            <w:rFonts w:ascii="Arial" w:cs="Arial" w:eastAsia="Arial" w:hAnsi="Arial"/>
            <w:sz w:val="19"/>
            <w:szCs w:val="19"/>
            <w:color w:val="000080"/>
          </w:rPr>
          <w:t>10.1093/</w:t>
        </w:r>
      </w:hyperlink>
      <w:r>
        <w:rPr>
          <w:rFonts w:ascii="Arial" w:cs="Arial" w:eastAsia="Arial" w:hAnsi="Arial"/>
          <w:sz w:val="19"/>
          <w:szCs w:val="19"/>
          <w:color w:val="auto"/>
        </w:rPr>
        <w:t xml:space="preserve"> </w:t>
      </w:r>
      <w:hyperlink r:id="rId66">
        <w:r>
          <w:rPr>
            <w:rFonts w:ascii="Arial" w:cs="Arial" w:eastAsia="Arial" w:hAnsi="Arial"/>
            <w:sz w:val="19"/>
            <w:szCs w:val="19"/>
            <w:color w:val="000080"/>
          </w:rPr>
          <w:t>brain/awg245</w:t>
        </w:r>
      </w:hyperlink>
      <w:r>
        <w:rPr>
          <w:rFonts w:ascii="Arial" w:cs="Arial" w:eastAsia="Arial" w:hAnsi="Arial"/>
          <w:sz w:val="19"/>
          <w:szCs w:val="19"/>
          <w:color w:val="000000"/>
        </w:rPr>
        <w:t>.</w:t>
      </w:r>
    </w:p>
    <w:p>
      <w:pPr>
        <w:spacing w:after="0" w:line="2" w:lineRule="exact"/>
        <w:rPr>
          <w:rFonts w:ascii="Arial" w:cs="Arial" w:eastAsia="Arial" w:hAnsi="Arial"/>
          <w:sz w:val="19"/>
          <w:szCs w:val="19"/>
          <w:color w:val="000080"/>
        </w:rPr>
      </w:pPr>
    </w:p>
    <w:p>
      <w:pPr>
        <w:jc w:val="both"/>
        <w:ind w:left="316" w:hanging="316"/>
        <w:spacing w:after="0" w:line="294" w:lineRule="auto"/>
        <w:tabs>
          <w:tab w:leader="none" w:pos="316" w:val="left"/>
        </w:tabs>
        <w:numPr>
          <w:ilvl w:val="0"/>
          <w:numId w:val="5"/>
        </w:numPr>
        <w:rPr>
          <w:rFonts w:ascii="Arial" w:cs="Arial" w:eastAsia="Arial" w:hAnsi="Arial"/>
          <w:sz w:val="17"/>
          <w:szCs w:val="17"/>
          <w:color w:val="auto"/>
        </w:rPr>
      </w:pPr>
      <w:r>
        <w:rPr>
          <w:rFonts w:ascii="Arial" w:cs="Arial" w:eastAsia="Arial" w:hAnsi="Arial"/>
          <w:sz w:val="17"/>
          <w:szCs w:val="17"/>
          <w:color w:val="auto"/>
        </w:rPr>
        <w:t xml:space="preserve">Dijkhuizen RM, Singhal AB, Mandeville JB, et al. Correlation between brain reorganization, ischemic damage, and neurologic status after transient focal cer-ebral ischemia in rats: a functional magnetic resonance imaging study J . </w:t>
      </w:r>
      <w:r>
        <w:rPr>
          <w:rFonts w:ascii="Arial" w:cs="Arial" w:eastAsia="Arial" w:hAnsi="Arial"/>
          <w:sz w:val="17"/>
          <w:szCs w:val="17"/>
          <w:i w:val="1"/>
          <w:iCs w:val="1"/>
          <w:color w:val="auto"/>
        </w:rPr>
        <w:t>J Neurosci</w:t>
      </w:r>
      <w:r>
        <w:rPr>
          <w:rFonts w:ascii="Arial" w:cs="Arial" w:eastAsia="Arial" w:hAnsi="Arial"/>
          <w:sz w:val="17"/>
          <w:szCs w:val="17"/>
          <w:color w:val="auto"/>
        </w:rPr>
        <w:t xml:space="preserve">. </w:t>
      </w:r>
      <w:hyperlink w:anchor="page11">
        <w:r>
          <w:rPr>
            <w:rFonts w:ascii="Arial" w:cs="Arial" w:eastAsia="Arial" w:hAnsi="Arial"/>
            <w:sz w:val="17"/>
            <w:szCs w:val="17"/>
            <w:color w:val="000080"/>
          </w:rPr>
          <w:t>2003</w:t>
        </w:r>
      </w:hyperlink>
      <w:r>
        <w:rPr>
          <w:rFonts w:ascii="Arial" w:cs="Arial" w:eastAsia="Arial" w:hAnsi="Arial"/>
          <w:sz w:val="17"/>
          <w:szCs w:val="17"/>
          <w:color w:val="auto"/>
        </w:rPr>
        <w:t>;23(2):510–517. doi:</w:t>
      </w:r>
      <w:hyperlink r:id="rId67">
        <w:r>
          <w:rPr>
            <w:rFonts w:ascii="Arial" w:cs="Arial" w:eastAsia="Arial" w:hAnsi="Arial"/>
            <w:sz w:val="17"/>
            <w:szCs w:val="17"/>
            <w:color w:val="000080"/>
          </w:rPr>
          <w:t>10.1523/JNEUROSCI.23-02-00510.2003</w:t>
        </w:r>
      </w:hyperlink>
      <w:r>
        <w:rPr>
          <w:rFonts w:ascii="Arial" w:cs="Arial" w:eastAsia="Arial" w:hAnsi="Arial"/>
          <w:sz w:val="17"/>
          <w:szCs w:val="17"/>
          <w:color w:val="auto"/>
        </w:rPr>
        <w:t>.</w:t>
      </w:r>
    </w:p>
    <w:p>
      <w:pPr>
        <w:spacing w:after="0" w:line="3" w:lineRule="exact"/>
        <w:rPr>
          <w:rFonts w:ascii="Arial" w:cs="Arial" w:eastAsia="Arial" w:hAnsi="Arial"/>
          <w:sz w:val="17"/>
          <w:szCs w:val="17"/>
          <w:color w:val="auto"/>
        </w:rPr>
      </w:pPr>
    </w:p>
    <w:p>
      <w:pPr>
        <w:jc w:val="both"/>
        <w:ind w:left="316" w:hanging="316"/>
        <w:spacing w:after="0" w:line="294" w:lineRule="auto"/>
        <w:tabs>
          <w:tab w:leader="none" w:pos="316" w:val="left"/>
        </w:tabs>
        <w:numPr>
          <w:ilvl w:val="0"/>
          <w:numId w:val="5"/>
        </w:numPr>
        <w:rPr>
          <w:rFonts w:ascii="Arial" w:cs="Arial" w:eastAsia="Arial" w:hAnsi="Arial"/>
          <w:sz w:val="17"/>
          <w:szCs w:val="17"/>
          <w:color w:val="auto"/>
        </w:rPr>
      </w:pPr>
      <w:r>
        <w:rPr>
          <w:rFonts w:ascii="Arial" w:cs="Arial" w:eastAsia="Arial" w:hAnsi="Arial"/>
          <w:sz w:val="17"/>
          <w:szCs w:val="17"/>
          <w:color w:val="auto"/>
        </w:rPr>
        <w:t xml:space="preserve">Loubinoux I, Carel C, Pariente J . Correlation between cerebral reorganization and motor recovery after subcor-tical infarcts J . </w:t>
      </w:r>
      <w:r>
        <w:rPr>
          <w:rFonts w:ascii="Arial" w:cs="Arial" w:eastAsia="Arial" w:hAnsi="Arial"/>
          <w:sz w:val="17"/>
          <w:szCs w:val="17"/>
          <w:i w:val="1"/>
          <w:iCs w:val="1"/>
          <w:color w:val="auto"/>
        </w:rPr>
        <w:t>Neuroimage</w:t>
      </w:r>
      <w:r>
        <w:rPr>
          <w:rFonts w:ascii="Arial" w:cs="Arial" w:eastAsia="Arial" w:hAnsi="Arial"/>
          <w:sz w:val="17"/>
          <w:szCs w:val="17"/>
          <w:color w:val="auto"/>
        </w:rPr>
        <w:t xml:space="preserve">. </w:t>
      </w:r>
      <w:r>
        <w:rPr>
          <w:rFonts w:ascii="Arial" w:cs="Arial" w:eastAsia="Arial" w:hAnsi="Arial"/>
          <w:sz w:val="17"/>
          <w:szCs w:val="17"/>
          <w:color w:val="000080"/>
        </w:rPr>
        <w:t>2003</w:t>
      </w:r>
      <w:r>
        <w:rPr>
          <w:rFonts w:ascii="Arial" w:cs="Arial" w:eastAsia="Arial" w:hAnsi="Arial"/>
          <w:sz w:val="17"/>
          <w:szCs w:val="17"/>
          <w:color w:val="auto"/>
        </w:rPr>
        <w:t>;20(4):2166–2180. doi:</w:t>
      </w:r>
      <w:hyperlink r:id="rId68">
        <w:r>
          <w:rPr>
            <w:rFonts w:ascii="Arial" w:cs="Arial" w:eastAsia="Arial" w:hAnsi="Arial"/>
            <w:sz w:val="17"/>
            <w:szCs w:val="17"/>
            <w:color w:val="000080"/>
          </w:rPr>
          <w:t>10.1016/j.neuroimage.2003.08.017</w:t>
        </w:r>
      </w:hyperlink>
      <w:r>
        <w:rPr>
          <w:rFonts w:ascii="Arial" w:cs="Arial" w:eastAsia="Arial" w:hAnsi="Arial"/>
          <w:sz w:val="17"/>
          <w:szCs w:val="17"/>
          <w:color w:val="auto"/>
        </w:rPr>
        <w:t>.</w:t>
      </w:r>
    </w:p>
    <w:p>
      <w:pPr>
        <w:spacing w:after="0" w:line="1" w:lineRule="exact"/>
        <w:rPr>
          <w:rFonts w:ascii="Arial" w:cs="Arial" w:eastAsia="Arial" w:hAnsi="Arial"/>
          <w:sz w:val="17"/>
          <w:szCs w:val="17"/>
          <w:color w:val="auto"/>
        </w:rPr>
      </w:pPr>
    </w:p>
    <w:p>
      <w:pPr>
        <w:jc w:val="both"/>
        <w:ind w:left="316" w:hanging="316"/>
        <w:spacing w:after="0" w:line="294" w:lineRule="auto"/>
        <w:tabs>
          <w:tab w:leader="none" w:pos="316" w:val="left"/>
        </w:tabs>
        <w:numPr>
          <w:ilvl w:val="0"/>
          <w:numId w:val="5"/>
        </w:numPr>
        <w:rPr>
          <w:rFonts w:ascii="Arial" w:cs="Arial" w:eastAsia="Arial" w:hAnsi="Arial"/>
          <w:sz w:val="17"/>
          <w:szCs w:val="17"/>
          <w:color w:val="auto"/>
        </w:rPr>
      </w:pPr>
      <w:r>
        <w:rPr>
          <w:rFonts w:ascii="Arial" w:cs="Arial" w:eastAsia="Arial" w:hAnsi="Arial"/>
          <w:sz w:val="17"/>
          <w:szCs w:val="17"/>
          <w:color w:val="auto"/>
        </w:rPr>
        <w:t xml:space="preserve">Mushiake H, Shima K. Functional Parcellation of Frontal Higher Order Motor Cortex J . </w:t>
      </w:r>
      <w:r>
        <w:rPr>
          <w:rFonts w:ascii="Arial" w:cs="Arial" w:eastAsia="Arial" w:hAnsi="Arial"/>
          <w:sz w:val="17"/>
          <w:szCs w:val="17"/>
          <w:i w:val="1"/>
          <w:iCs w:val="1"/>
          <w:color w:val="auto"/>
        </w:rPr>
        <w:t>Brain Nerve</w:t>
      </w:r>
      <w:r>
        <w:rPr>
          <w:rFonts w:ascii="Arial" w:cs="Arial" w:eastAsia="Arial" w:hAnsi="Arial"/>
          <w:sz w:val="17"/>
          <w:szCs w:val="17"/>
          <w:color w:val="auto"/>
        </w:rPr>
        <w:t xml:space="preserve">. </w:t>
      </w:r>
      <w:r>
        <w:rPr>
          <w:rFonts w:ascii="Arial" w:cs="Arial" w:eastAsia="Arial" w:hAnsi="Arial"/>
          <w:sz w:val="17"/>
          <w:szCs w:val="17"/>
          <w:color w:val="000080"/>
        </w:rPr>
        <w:t>2016</w:t>
      </w:r>
      <w:r>
        <w:rPr>
          <w:rFonts w:ascii="Arial" w:cs="Arial" w:eastAsia="Arial" w:hAnsi="Arial"/>
          <w:sz w:val="17"/>
          <w:szCs w:val="17"/>
          <w:color w:val="auto"/>
        </w:rPr>
        <w:t>;68 (11):1271–1282. doi:</w:t>
      </w:r>
      <w:hyperlink r:id="rId69">
        <w:r>
          <w:rPr>
            <w:rFonts w:ascii="Arial" w:cs="Arial" w:eastAsia="Arial" w:hAnsi="Arial"/>
            <w:sz w:val="17"/>
            <w:szCs w:val="17"/>
            <w:color w:val="000080"/>
          </w:rPr>
          <w:t>10.11477/mf.1416200591</w:t>
        </w:r>
      </w:hyperlink>
      <w:r>
        <w:rPr>
          <w:rFonts w:ascii="Arial" w:cs="Arial" w:eastAsia="Arial" w:hAnsi="Arial"/>
          <w:sz w:val="17"/>
          <w:szCs w:val="17"/>
          <w:color w:val="auto"/>
        </w:rPr>
        <w:t>.</w:t>
      </w:r>
    </w:p>
    <w:p>
      <w:pPr>
        <w:spacing w:after="0" w:line="1" w:lineRule="exact"/>
        <w:rPr>
          <w:rFonts w:ascii="Arial" w:cs="Arial" w:eastAsia="Arial" w:hAnsi="Arial"/>
          <w:sz w:val="17"/>
          <w:szCs w:val="17"/>
          <w:color w:val="auto"/>
        </w:rPr>
      </w:pPr>
    </w:p>
    <w:p>
      <w:pPr>
        <w:jc w:val="both"/>
        <w:ind w:left="316" w:hanging="316"/>
        <w:spacing w:after="0" w:line="313" w:lineRule="auto"/>
        <w:tabs>
          <w:tab w:leader="none" w:pos="316" w:val="left"/>
        </w:tabs>
        <w:numPr>
          <w:ilvl w:val="0"/>
          <w:numId w:val="5"/>
        </w:numPr>
        <w:rPr>
          <w:rFonts w:ascii="Arial" w:cs="Arial" w:eastAsia="Arial" w:hAnsi="Arial"/>
          <w:sz w:val="16"/>
          <w:szCs w:val="16"/>
          <w:color w:val="auto"/>
        </w:rPr>
      </w:pPr>
      <w:r>
        <w:rPr>
          <w:rFonts w:ascii="Arial" w:cs="Arial" w:eastAsia="Arial" w:hAnsi="Arial"/>
          <w:sz w:val="16"/>
          <w:szCs w:val="16"/>
          <w:color w:val="auto"/>
        </w:rPr>
        <w:t xml:space="preserve">Weber R, Ramos-Cabrer P, Justicia C, et al. Early predic-tion of functional recovery after experimental stroke: func-tional magnetic resonance imaging, electrophysiology, and behavioral testing in rats J . </w:t>
      </w:r>
      <w:r>
        <w:rPr>
          <w:rFonts w:ascii="Arial" w:cs="Arial" w:eastAsia="Arial" w:hAnsi="Arial"/>
          <w:sz w:val="16"/>
          <w:szCs w:val="16"/>
          <w:i w:val="1"/>
          <w:iCs w:val="1"/>
          <w:color w:val="auto"/>
        </w:rPr>
        <w:t>J Neurosci</w:t>
      </w:r>
      <w:r>
        <w:rPr>
          <w:rFonts w:ascii="Arial" w:cs="Arial" w:eastAsia="Arial" w:hAnsi="Arial"/>
          <w:sz w:val="16"/>
          <w:szCs w:val="16"/>
          <w:color w:val="auto"/>
        </w:rPr>
        <w:t xml:space="preserve">. </w:t>
      </w:r>
      <w:r>
        <w:rPr>
          <w:rFonts w:ascii="Arial" w:cs="Arial" w:eastAsia="Arial" w:hAnsi="Arial"/>
          <w:sz w:val="16"/>
          <w:szCs w:val="16"/>
          <w:color w:val="000080"/>
        </w:rPr>
        <w:t>2008</w:t>
      </w:r>
      <w:r>
        <w:rPr>
          <w:rFonts w:ascii="Arial" w:cs="Arial" w:eastAsia="Arial" w:hAnsi="Arial"/>
          <w:sz w:val="16"/>
          <w:szCs w:val="16"/>
          <w:color w:val="auto"/>
        </w:rPr>
        <w:t xml:space="preserve"> 30;28</w:t>
      </w:r>
    </w:p>
    <w:p>
      <w:pPr>
        <w:ind w:left="316"/>
        <w:spacing w:after="0"/>
        <w:rPr>
          <w:rFonts w:ascii="Arial" w:cs="Arial" w:eastAsia="Arial" w:hAnsi="Arial"/>
          <w:sz w:val="16"/>
          <w:szCs w:val="16"/>
          <w:color w:val="auto"/>
        </w:rPr>
      </w:pPr>
      <w:r>
        <w:rPr>
          <w:rFonts w:ascii="Arial" w:cs="Arial" w:eastAsia="Arial" w:hAnsi="Arial"/>
          <w:sz w:val="16"/>
          <w:szCs w:val="16"/>
          <w:color w:val="auto"/>
        </w:rPr>
        <w:t>(5):1022–1029. doi:</w:t>
      </w:r>
      <w:hyperlink r:id="rId70">
        <w:r>
          <w:rPr>
            <w:rFonts w:ascii="Arial" w:cs="Arial" w:eastAsia="Arial" w:hAnsi="Arial"/>
            <w:sz w:val="16"/>
            <w:szCs w:val="16"/>
            <w:color w:val="000080"/>
          </w:rPr>
          <w:t>10.1523/JNEUROSCI.4147-07.2008</w:t>
        </w:r>
      </w:hyperlink>
      <w:r>
        <w:rPr>
          <w:rFonts w:ascii="Arial" w:cs="Arial" w:eastAsia="Arial" w:hAnsi="Arial"/>
          <w:sz w:val="16"/>
          <w:szCs w:val="16"/>
          <w:color w:val="auto"/>
        </w:rPr>
        <w:t>.</w:t>
      </w:r>
    </w:p>
    <w:p>
      <w:pPr>
        <w:spacing w:after="0" w:line="56" w:lineRule="exact"/>
        <w:rPr>
          <w:rFonts w:ascii="Arial" w:cs="Arial" w:eastAsia="Arial" w:hAnsi="Arial"/>
          <w:sz w:val="16"/>
          <w:szCs w:val="16"/>
          <w:color w:val="auto"/>
        </w:rPr>
      </w:pPr>
    </w:p>
    <w:p>
      <w:pPr>
        <w:jc w:val="both"/>
        <w:ind w:left="316" w:hanging="316"/>
        <w:spacing w:after="0" w:line="278" w:lineRule="auto"/>
        <w:tabs>
          <w:tab w:leader="none" w:pos="316" w:val="left"/>
        </w:tabs>
        <w:numPr>
          <w:ilvl w:val="0"/>
          <w:numId w:val="5"/>
        </w:numPr>
        <w:rPr>
          <w:rFonts w:ascii="Arial" w:cs="Arial" w:eastAsia="Arial" w:hAnsi="Arial"/>
          <w:sz w:val="18"/>
          <w:szCs w:val="18"/>
          <w:color w:val="auto"/>
        </w:rPr>
      </w:pPr>
      <w:r>
        <w:rPr>
          <w:rFonts w:ascii="Arial" w:cs="Arial" w:eastAsia="Arial" w:hAnsi="Arial"/>
          <w:sz w:val="18"/>
          <w:szCs w:val="18"/>
          <w:color w:val="auto"/>
        </w:rPr>
        <w:t>Rossini PM, Dal Forno G. Integrated technology for evaluation of brain function and neural plasticity</w:t>
      </w:r>
    </w:p>
    <w:p>
      <w:pPr>
        <w:ind w:left="316"/>
        <w:spacing w:after="0"/>
        <w:rPr>
          <w:rFonts w:ascii="Arial" w:cs="Arial" w:eastAsia="Arial" w:hAnsi="Arial"/>
          <w:sz w:val="18"/>
          <w:szCs w:val="18"/>
          <w:color w:val="auto"/>
        </w:rPr>
      </w:pPr>
      <w:r>
        <w:rPr>
          <w:rFonts w:ascii="Arial" w:cs="Arial" w:eastAsia="Arial" w:hAnsi="Arial"/>
          <w:sz w:val="19"/>
          <w:szCs w:val="19"/>
          <w:color w:val="auto"/>
        </w:rPr>
        <w:t xml:space="preserve">J  .  </w:t>
      </w:r>
      <w:r>
        <w:rPr>
          <w:rFonts w:ascii="Arial" w:cs="Arial" w:eastAsia="Arial" w:hAnsi="Arial"/>
          <w:sz w:val="19"/>
          <w:szCs w:val="19"/>
          <w:i w:val="1"/>
          <w:iCs w:val="1"/>
          <w:color w:val="auto"/>
        </w:rPr>
        <w:t>Phys  Med  Rehabil  Clin  N  Am</w:t>
      </w:r>
      <w:r>
        <w:rPr>
          <w:rFonts w:ascii="Arial" w:cs="Arial" w:eastAsia="Arial" w:hAnsi="Arial"/>
          <w:sz w:val="19"/>
          <w:szCs w:val="19"/>
          <w:color w:val="auto"/>
        </w:rPr>
        <w:t xml:space="preserve">.  </w:t>
      </w:r>
      <w:r>
        <w:rPr>
          <w:rFonts w:ascii="Arial" w:cs="Arial" w:eastAsia="Arial" w:hAnsi="Arial"/>
          <w:sz w:val="19"/>
          <w:szCs w:val="19"/>
          <w:color w:val="000080"/>
        </w:rPr>
        <w:t>2004</w:t>
      </w:r>
      <w:r>
        <w:rPr>
          <w:rFonts w:ascii="Arial" w:cs="Arial" w:eastAsia="Arial" w:hAnsi="Arial"/>
          <w:sz w:val="19"/>
          <w:szCs w:val="19"/>
          <w:color w:val="auto"/>
        </w:rPr>
        <w:t>;15</w:t>
      </w:r>
    </w:p>
    <w:p>
      <w:pPr>
        <w:spacing w:after="0" w:line="21" w:lineRule="exact"/>
        <w:rPr>
          <w:rFonts w:ascii="Arial" w:cs="Arial" w:eastAsia="Arial" w:hAnsi="Arial"/>
          <w:sz w:val="18"/>
          <w:szCs w:val="18"/>
          <w:color w:val="auto"/>
        </w:rPr>
      </w:pPr>
    </w:p>
    <w:p>
      <w:pPr>
        <w:ind w:left="316"/>
        <w:spacing w:after="0"/>
        <w:rPr>
          <w:rFonts w:ascii="Arial" w:cs="Arial" w:eastAsia="Arial" w:hAnsi="Arial"/>
          <w:sz w:val="18"/>
          <w:szCs w:val="18"/>
          <w:color w:val="auto"/>
        </w:rPr>
      </w:pPr>
      <w:r>
        <w:rPr>
          <w:rFonts w:ascii="Arial" w:cs="Arial" w:eastAsia="Arial" w:hAnsi="Arial"/>
          <w:sz w:val="18"/>
          <w:szCs w:val="18"/>
          <w:color w:val="auto"/>
        </w:rPr>
        <w:t>(1):263–306. doi:</w:t>
      </w:r>
      <w:hyperlink r:id="rId71">
        <w:r>
          <w:rPr>
            <w:rFonts w:ascii="Arial" w:cs="Arial" w:eastAsia="Arial" w:hAnsi="Arial"/>
            <w:sz w:val="18"/>
            <w:szCs w:val="18"/>
            <w:color w:val="000080"/>
          </w:rPr>
          <w:t>10.1016/s1047-9651(03)00124-4</w:t>
        </w:r>
      </w:hyperlink>
      <w:r>
        <w:rPr>
          <w:rFonts w:ascii="Arial" w:cs="Arial" w:eastAsia="Arial" w:hAnsi="Arial"/>
          <w:sz w:val="18"/>
          <w:szCs w:val="18"/>
          <w:color w:val="auto"/>
        </w:rPr>
        <w:t>.</w:t>
      </w:r>
    </w:p>
    <w:p>
      <w:pPr>
        <w:sectPr>
          <w:pgSz w:w="11880" w:h="15840" w:orient="portrait"/>
          <w:cols w:equalWidth="0" w:num="2">
            <w:col w:w="4740" w:space="524"/>
            <w:col w:w="4576"/>
          </w:cols>
          <w:pgMar w:left="1020" w:top="472" w:right="1019" w:bottom="520" w:gutter="0" w:footer="0" w:header="0"/>
        </w:sectPr>
      </w:pPr>
    </w:p>
    <w:bookmarkStart w:id="13" w:name="page14"/>
    <w:bookmarkEnd w:id="13"/>
    <w:p>
      <w:pPr>
        <w:spacing w:after="0" w:line="200" w:lineRule="exact"/>
        <w:rPr>
          <w:sz w:val="20"/>
          <w:szCs w:val="20"/>
          <w:color w:val="auto"/>
        </w:rPr>
      </w:pPr>
    </w:p>
    <w:p>
      <w:pPr>
        <w:spacing w:after="0" w:line="298" w:lineRule="exact"/>
        <w:rPr>
          <w:sz w:val="20"/>
          <w:szCs w:val="20"/>
          <w:color w:val="auto"/>
        </w:rPr>
      </w:pPr>
    </w:p>
    <w:p>
      <w:pPr>
        <w:jc w:val="both"/>
        <w:ind w:left="316" w:hanging="316"/>
        <w:spacing w:after="0" w:line="305" w:lineRule="auto"/>
        <w:tabs>
          <w:tab w:leader="none" w:pos="316" w:val="left"/>
        </w:tabs>
        <w:numPr>
          <w:ilvl w:val="0"/>
          <w:numId w:val="6"/>
        </w:numPr>
        <w:rPr>
          <w:rFonts w:ascii="Arial" w:cs="Arial" w:eastAsia="Arial" w:hAnsi="Arial"/>
          <w:sz w:val="17"/>
          <w:szCs w:val="17"/>
          <w:color w:val="auto"/>
        </w:rPr>
      </w:pPr>
      <w:r>
        <w:rPr>
          <w:rFonts w:ascii="Arial" w:cs="Arial" w:eastAsia="Arial" w:hAnsi="Arial"/>
          <w:sz w:val="17"/>
          <w:szCs w:val="17"/>
          <w:color w:val="auto"/>
        </w:rPr>
        <w:t xml:space="preserve">Grefkes C, Fink GR. Disruption of motor network con-nectivity post-stroke and its noninvasive neuromodula-tion J . </w:t>
      </w:r>
      <w:r>
        <w:rPr>
          <w:rFonts w:ascii="Arial" w:cs="Arial" w:eastAsia="Arial" w:hAnsi="Arial"/>
          <w:sz w:val="17"/>
          <w:szCs w:val="17"/>
          <w:i w:val="1"/>
          <w:iCs w:val="1"/>
          <w:color w:val="auto"/>
        </w:rPr>
        <w:t>Curr Opin Neurol</w:t>
      </w:r>
      <w:r>
        <w:rPr>
          <w:rFonts w:ascii="Arial" w:cs="Arial" w:eastAsia="Arial" w:hAnsi="Arial"/>
          <w:sz w:val="17"/>
          <w:szCs w:val="17"/>
          <w:color w:val="auto"/>
        </w:rPr>
        <w:t xml:space="preserve">. </w:t>
      </w:r>
      <w:hyperlink w:anchor="page11">
        <w:r>
          <w:rPr>
            <w:rFonts w:ascii="Arial" w:cs="Arial" w:eastAsia="Arial" w:hAnsi="Arial"/>
            <w:sz w:val="17"/>
            <w:szCs w:val="17"/>
            <w:color w:val="000080"/>
          </w:rPr>
          <w:t>2012</w:t>
        </w:r>
      </w:hyperlink>
      <w:r>
        <w:rPr>
          <w:rFonts w:ascii="Arial" w:cs="Arial" w:eastAsia="Arial" w:hAnsi="Arial"/>
          <w:sz w:val="17"/>
          <w:szCs w:val="17"/>
          <w:color w:val="auto"/>
        </w:rPr>
        <w:t>;25(6):670–675. doi:</w:t>
      </w:r>
      <w:hyperlink r:id="rId72">
        <w:r>
          <w:rPr>
            <w:rFonts w:ascii="Arial" w:cs="Arial" w:eastAsia="Arial" w:hAnsi="Arial"/>
            <w:sz w:val="17"/>
            <w:szCs w:val="17"/>
            <w:color w:val="000080"/>
          </w:rPr>
          <w:t>10.1097/WCO.0b013e3283598473</w:t>
        </w:r>
      </w:hyperlink>
      <w:r>
        <w:rPr>
          <w:rFonts w:ascii="Arial" w:cs="Arial" w:eastAsia="Arial" w:hAnsi="Arial"/>
          <w:sz w:val="17"/>
          <w:szCs w:val="17"/>
          <w:color w:val="auto"/>
        </w:rPr>
        <w:t>.</w:t>
      </w:r>
    </w:p>
    <w:p>
      <w:pPr>
        <w:spacing w:after="0" w:line="2" w:lineRule="exact"/>
        <w:rPr>
          <w:rFonts w:ascii="Arial" w:cs="Arial" w:eastAsia="Arial" w:hAnsi="Arial"/>
          <w:sz w:val="17"/>
          <w:szCs w:val="17"/>
          <w:color w:val="auto"/>
        </w:rPr>
      </w:pPr>
    </w:p>
    <w:p>
      <w:pPr>
        <w:jc w:val="both"/>
        <w:ind w:left="316" w:hanging="316"/>
        <w:spacing w:after="0" w:line="263" w:lineRule="auto"/>
        <w:tabs>
          <w:tab w:leader="none" w:pos="316" w:val="left"/>
        </w:tabs>
        <w:numPr>
          <w:ilvl w:val="0"/>
          <w:numId w:val="6"/>
        </w:numPr>
        <w:rPr>
          <w:rFonts w:ascii="Arial" w:cs="Arial" w:eastAsia="Arial" w:hAnsi="Arial"/>
          <w:sz w:val="19"/>
          <w:szCs w:val="19"/>
          <w:color w:val="000080"/>
        </w:rPr>
      </w:pPr>
      <w:r>
        <w:rPr>
          <w:rFonts w:ascii="Arial" w:cs="Arial" w:eastAsia="Arial" w:hAnsi="Arial"/>
          <w:sz w:val="19"/>
          <w:szCs w:val="19"/>
          <w:color w:val="auto"/>
        </w:rPr>
        <w:t xml:space="preserve">Johansen-Berg H, Rushworth MF, Bogdanovic MD, et al. The role of ipsilateral premotor cortex in hand movement after stroke J . </w:t>
      </w:r>
      <w:r>
        <w:rPr>
          <w:rFonts w:ascii="Arial" w:cs="Arial" w:eastAsia="Arial" w:hAnsi="Arial"/>
          <w:sz w:val="19"/>
          <w:szCs w:val="19"/>
          <w:i w:val="1"/>
          <w:iCs w:val="1"/>
          <w:color w:val="auto"/>
        </w:rPr>
        <w:t>Proc Natl Acad Sci U S A</w:t>
      </w:r>
      <w:r>
        <w:rPr>
          <w:rFonts w:ascii="Arial" w:cs="Arial" w:eastAsia="Arial" w:hAnsi="Arial"/>
          <w:sz w:val="19"/>
          <w:szCs w:val="19"/>
          <w:color w:val="auto"/>
        </w:rPr>
        <w:t xml:space="preserve">. </w:t>
      </w:r>
      <w:hyperlink w:anchor="page11">
        <w:r>
          <w:rPr>
            <w:rFonts w:ascii="Arial" w:cs="Arial" w:eastAsia="Arial" w:hAnsi="Arial"/>
            <w:sz w:val="19"/>
            <w:szCs w:val="19"/>
            <w:color w:val="000080"/>
          </w:rPr>
          <w:t xml:space="preserve">2002 </w:t>
        </w:r>
      </w:hyperlink>
      <w:r>
        <w:rPr>
          <w:rFonts w:ascii="Arial" w:cs="Arial" w:eastAsia="Arial" w:hAnsi="Arial"/>
          <w:sz w:val="19"/>
          <w:szCs w:val="19"/>
          <w:color w:val="000000"/>
        </w:rPr>
        <w:t>29;99(22):14518–14523.</w:t>
      </w:r>
      <w:r>
        <w:rPr>
          <w:rFonts w:ascii="Arial" w:cs="Arial" w:eastAsia="Arial" w:hAnsi="Arial"/>
          <w:sz w:val="19"/>
          <w:szCs w:val="19"/>
          <w:color w:val="000080"/>
        </w:rPr>
        <w:t xml:space="preserve"> </w:t>
      </w:r>
      <w:r>
        <w:rPr>
          <w:rFonts w:ascii="Arial" w:cs="Arial" w:eastAsia="Arial" w:hAnsi="Arial"/>
          <w:sz w:val="19"/>
          <w:szCs w:val="19"/>
          <w:color w:val="000000"/>
        </w:rPr>
        <w:t>doi:</w:t>
      </w:r>
      <w:hyperlink r:id="rId73">
        <w:r>
          <w:rPr>
            <w:rFonts w:ascii="Arial" w:cs="Arial" w:eastAsia="Arial" w:hAnsi="Arial"/>
            <w:sz w:val="19"/>
            <w:szCs w:val="19"/>
            <w:color w:val="000080"/>
          </w:rPr>
          <w:t>10.1073/pnas.22253</w:t>
        </w:r>
      </w:hyperlink>
      <w:r>
        <w:rPr>
          <w:rFonts w:ascii="Arial" w:cs="Arial" w:eastAsia="Arial" w:hAnsi="Arial"/>
          <w:sz w:val="19"/>
          <w:szCs w:val="19"/>
          <w:color w:val="000080"/>
        </w:rPr>
        <w:t xml:space="preserve"> </w:t>
      </w:r>
      <w:hyperlink r:id="rId73">
        <w:r>
          <w:rPr>
            <w:rFonts w:ascii="Arial" w:cs="Arial" w:eastAsia="Arial" w:hAnsi="Arial"/>
            <w:sz w:val="19"/>
            <w:szCs w:val="19"/>
            <w:color w:val="000080"/>
          </w:rPr>
          <w:t>6799</w:t>
        </w:r>
      </w:hyperlink>
      <w:r>
        <w:rPr>
          <w:rFonts w:ascii="Arial" w:cs="Arial" w:eastAsia="Arial" w:hAnsi="Arial"/>
          <w:sz w:val="19"/>
          <w:szCs w:val="19"/>
          <w:color w:val="000000"/>
        </w:rPr>
        <w:t>.</w:t>
      </w:r>
    </w:p>
    <w:p>
      <w:pPr>
        <w:spacing w:after="0" w:line="3" w:lineRule="exact"/>
        <w:rPr>
          <w:rFonts w:ascii="Arial" w:cs="Arial" w:eastAsia="Arial" w:hAnsi="Arial"/>
          <w:sz w:val="19"/>
          <w:szCs w:val="19"/>
          <w:color w:val="000080"/>
        </w:rPr>
      </w:pPr>
    </w:p>
    <w:p>
      <w:pPr>
        <w:jc w:val="both"/>
        <w:ind w:left="316" w:hanging="316"/>
        <w:spacing w:after="0" w:line="278" w:lineRule="auto"/>
        <w:tabs>
          <w:tab w:leader="none" w:pos="316" w:val="left"/>
        </w:tabs>
        <w:numPr>
          <w:ilvl w:val="0"/>
          <w:numId w:val="6"/>
        </w:numPr>
        <w:rPr>
          <w:rFonts w:ascii="Arial" w:cs="Arial" w:eastAsia="Arial" w:hAnsi="Arial"/>
          <w:sz w:val="18"/>
          <w:szCs w:val="18"/>
          <w:color w:val="auto"/>
        </w:rPr>
      </w:pPr>
      <w:r>
        <w:rPr>
          <w:rFonts w:ascii="Arial" w:cs="Arial" w:eastAsia="Arial" w:hAnsi="Arial"/>
          <w:sz w:val="18"/>
          <w:szCs w:val="18"/>
          <w:color w:val="auto"/>
        </w:rPr>
        <w:t xml:space="preserve">Stockert A, Wawrzyniak M, Klingbeil J, et al. Dynamics of language reorganization after left temporo-parietal and frontal stroke J . </w:t>
      </w:r>
      <w:r>
        <w:rPr>
          <w:rFonts w:ascii="Arial" w:cs="Arial" w:eastAsia="Arial" w:hAnsi="Arial"/>
          <w:sz w:val="18"/>
          <w:szCs w:val="18"/>
          <w:i w:val="1"/>
          <w:iCs w:val="1"/>
          <w:color w:val="auto"/>
        </w:rPr>
        <w:t>Brain</w:t>
      </w:r>
      <w:r>
        <w:rPr>
          <w:rFonts w:ascii="Arial" w:cs="Arial" w:eastAsia="Arial" w:hAnsi="Arial"/>
          <w:sz w:val="18"/>
          <w:szCs w:val="18"/>
          <w:color w:val="auto"/>
        </w:rPr>
        <w:t xml:space="preserve">. </w:t>
      </w:r>
      <w:hyperlink w:anchor="page12">
        <w:r>
          <w:rPr>
            <w:rFonts w:ascii="Arial" w:cs="Arial" w:eastAsia="Arial" w:hAnsi="Arial"/>
            <w:sz w:val="18"/>
            <w:szCs w:val="18"/>
            <w:color w:val="000080"/>
          </w:rPr>
          <w:t>2020</w:t>
        </w:r>
      </w:hyperlink>
      <w:r>
        <w:rPr>
          <w:rFonts w:ascii="Arial" w:cs="Arial" w:eastAsia="Arial" w:hAnsi="Arial"/>
          <w:sz w:val="18"/>
          <w:szCs w:val="18"/>
          <w:color w:val="auto"/>
        </w:rPr>
        <w:t>;143(3):844–861. doi:</w:t>
      </w:r>
      <w:hyperlink r:id="rId74">
        <w:r>
          <w:rPr>
            <w:rFonts w:ascii="Arial" w:cs="Arial" w:eastAsia="Arial" w:hAnsi="Arial"/>
            <w:sz w:val="18"/>
            <w:szCs w:val="18"/>
            <w:color w:val="000080"/>
          </w:rPr>
          <w:t>10.1093/brain/awaa023</w:t>
        </w:r>
      </w:hyperlink>
      <w:r>
        <w:rPr>
          <w:rFonts w:ascii="Arial" w:cs="Arial" w:eastAsia="Arial" w:hAnsi="Arial"/>
          <w:sz w:val="18"/>
          <w:szCs w:val="18"/>
          <w:color w:val="auto"/>
        </w:rPr>
        <w:t>.</w:t>
      </w:r>
    </w:p>
    <w:p>
      <w:pPr>
        <w:jc w:val="both"/>
        <w:ind w:left="316" w:hanging="316"/>
        <w:spacing w:after="0" w:line="313" w:lineRule="auto"/>
        <w:tabs>
          <w:tab w:leader="none" w:pos="316" w:val="left"/>
        </w:tabs>
        <w:numPr>
          <w:ilvl w:val="0"/>
          <w:numId w:val="6"/>
        </w:numPr>
        <w:rPr>
          <w:rFonts w:ascii="Arial" w:cs="Arial" w:eastAsia="Arial" w:hAnsi="Arial"/>
          <w:sz w:val="16"/>
          <w:szCs w:val="16"/>
          <w:color w:val="auto"/>
        </w:rPr>
      </w:pPr>
      <w:r>
        <w:rPr>
          <w:rFonts w:ascii="Arial" w:cs="Arial" w:eastAsia="Arial" w:hAnsi="Arial"/>
          <w:sz w:val="16"/>
          <w:szCs w:val="16"/>
          <w:color w:val="auto"/>
        </w:rPr>
        <w:t xml:space="preserve">Duque J, Hummel F, Celnik P, et al. Transcallosal inhibition in chronic subcortical stroke J . </w:t>
      </w:r>
      <w:r>
        <w:rPr>
          <w:rFonts w:ascii="Arial" w:cs="Arial" w:eastAsia="Arial" w:hAnsi="Arial"/>
          <w:sz w:val="16"/>
          <w:szCs w:val="16"/>
          <w:i w:val="1"/>
          <w:iCs w:val="1"/>
          <w:color w:val="auto"/>
        </w:rPr>
        <w:t>Neuroimage</w:t>
      </w:r>
      <w:r>
        <w:rPr>
          <w:rFonts w:ascii="Arial" w:cs="Arial" w:eastAsia="Arial" w:hAnsi="Arial"/>
          <w:sz w:val="16"/>
          <w:szCs w:val="16"/>
          <w:color w:val="auto"/>
        </w:rPr>
        <w:t xml:space="preserve">. </w:t>
      </w:r>
      <w:hyperlink w:anchor="page12">
        <w:r>
          <w:rPr>
            <w:rFonts w:ascii="Arial" w:cs="Arial" w:eastAsia="Arial" w:hAnsi="Arial"/>
            <w:sz w:val="16"/>
            <w:szCs w:val="16"/>
            <w:color w:val="000080"/>
          </w:rPr>
          <w:t>2005</w:t>
        </w:r>
      </w:hyperlink>
      <w:r>
        <w:rPr>
          <w:rFonts w:ascii="Arial" w:cs="Arial" w:eastAsia="Arial" w:hAnsi="Arial"/>
          <w:sz w:val="16"/>
          <w:szCs w:val="16"/>
          <w:color w:val="auto"/>
        </w:rPr>
        <w:t>;28</w:t>
      </w:r>
    </w:p>
    <w:p>
      <w:pPr>
        <w:ind w:left="316"/>
        <w:spacing w:after="0"/>
        <w:rPr>
          <w:rFonts w:ascii="Arial" w:cs="Arial" w:eastAsia="Arial" w:hAnsi="Arial"/>
          <w:sz w:val="18"/>
          <w:szCs w:val="18"/>
          <w:color w:val="auto"/>
        </w:rPr>
      </w:pPr>
      <w:r>
        <w:rPr>
          <w:rFonts w:ascii="Arial" w:cs="Arial" w:eastAsia="Arial" w:hAnsi="Arial"/>
          <w:sz w:val="18"/>
          <w:szCs w:val="18"/>
          <w:color w:val="auto"/>
        </w:rPr>
        <w:t>(4):940–946. doi:</w:t>
      </w:r>
      <w:hyperlink r:id="rId75">
        <w:r>
          <w:rPr>
            <w:rFonts w:ascii="Arial" w:cs="Arial" w:eastAsia="Arial" w:hAnsi="Arial"/>
            <w:sz w:val="18"/>
            <w:szCs w:val="18"/>
            <w:color w:val="000080"/>
          </w:rPr>
          <w:t>10.1016/j.neuroimage.2005.06.033</w:t>
        </w:r>
      </w:hyperlink>
      <w:r>
        <w:rPr>
          <w:rFonts w:ascii="Arial" w:cs="Arial" w:eastAsia="Arial" w:hAnsi="Arial"/>
          <w:sz w:val="18"/>
          <w:szCs w:val="18"/>
          <w:color w:val="auto"/>
        </w:rPr>
        <w:t>.</w:t>
      </w:r>
    </w:p>
    <w:p>
      <w:pPr>
        <w:spacing w:after="0" w:line="32" w:lineRule="exact"/>
        <w:rPr>
          <w:rFonts w:ascii="Arial" w:cs="Arial" w:eastAsia="Arial" w:hAnsi="Arial"/>
          <w:sz w:val="18"/>
          <w:szCs w:val="18"/>
          <w:color w:val="auto"/>
        </w:rPr>
      </w:pPr>
    </w:p>
    <w:p>
      <w:pPr>
        <w:jc w:val="both"/>
        <w:ind w:left="316" w:hanging="316"/>
        <w:spacing w:after="0" w:line="273" w:lineRule="auto"/>
        <w:tabs>
          <w:tab w:leader="none" w:pos="316" w:val="left"/>
        </w:tabs>
        <w:numPr>
          <w:ilvl w:val="0"/>
          <w:numId w:val="6"/>
        </w:numPr>
        <w:rPr>
          <w:rFonts w:ascii="Arial" w:cs="Arial" w:eastAsia="Arial" w:hAnsi="Arial"/>
          <w:sz w:val="19"/>
          <w:szCs w:val="19"/>
          <w:color w:val="auto"/>
        </w:rPr>
      </w:pPr>
      <w:r>
        <w:rPr>
          <w:rFonts w:ascii="Arial" w:cs="Arial" w:eastAsia="Arial" w:hAnsi="Arial"/>
          <w:sz w:val="19"/>
          <w:szCs w:val="19"/>
          <w:color w:val="auto"/>
        </w:rPr>
        <w:t xml:space="preserve">Murase N, Duque J, Mazzocchio R, et al. Influence of interhemispheric interactions on motor function in chronic stroke J . </w:t>
      </w:r>
      <w:r>
        <w:rPr>
          <w:rFonts w:ascii="Arial" w:cs="Arial" w:eastAsia="Arial" w:hAnsi="Arial"/>
          <w:sz w:val="19"/>
          <w:szCs w:val="19"/>
          <w:i w:val="1"/>
          <w:iCs w:val="1"/>
          <w:color w:val="auto"/>
        </w:rPr>
        <w:t>Ann Neurol</w:t>
      </w:r>
      <w:r>
        <w:rPr>
          <w:rFonts w:ascii="Arial" w:cs="Arial" w:eastAsia="Arial" w:hAnsi="Arial"/>
          <w:sz w:val="19"/>
          <w:szCs w:val="19"/>
          <w:color w:val="auto"/>
        </w:rPr>
        <w:t xml:space="preserve">. </w:t>
      </w:r>
      <w:hyperlink w:anchor="page12">
        <w:r>
          <w:rPr>
            <w:rFonts w:ascii="Arial" w:cs="Arial" w:eastAsia="Arial" w:hAnsi="Arial"/>
            <w:sz w:val="19"/>
            <w:szCs w:val="19"/>
            <w:color w:val="000080"/>
          </w:rPr>
          <w:t>2004</w:t>
        </w:r>
      </w:hyperlink>
      <w:r>
        <w:rPr>
          <w:rFonts w:ascii="Arial" w:cs="Arial" w:eastAsia="Arial" w:hAnsi="Arial"/>
          <w:sz w:val="19"/>
          <w:szCs w:val="19"/>
          <w:color w:val="auto"/>
        </w:rPr>
        <w:t>;55(3):400–409. doi:</w:t>
      </w:r>
      <w:hyperlink r:id="rId76">
        <w:r>
          <w:rPr>
            <w:rFonts w:ascii="Arial" w:cs="Arial" w:eastAsia="Arial" w:hAnsi="Arial"/>
            <w:sz w:val="19"/>
            <w:szCs w:val="19"/>
            <w:color w:val="000080"/>
          </w:rPr>
          <w:t>10.1002/ana.10848</w:t>
        </w:r>
      </w:hyperlink>
      <w:r>
        <w:rPr>
          <w:rFonts w:ascii="Arial" w:cs="Arial" w:eastAsia="Arial" w:hAnsi="Arial"/>
          <w:sz w:val="19"/>
          <w:szCs w:val="19"/>
          <w:color w:val="auto"/>
        </w:rPr>
        <w:t>.</w:t>
      </w:r>
    </w:p>
    <w:p>
      <w:pPr>
        <w:jc w:val="both"/>
        <w:ind w:left="316" w:hanging="316"/>
        <w:spacing w:after="0" w:line="294" w:lineRule="auto"/>
        <w:tabs>
          <w:tab w:leader="none" w:pos="316" w:val="left"/>
        </w:tabs>
        <w:numPr>
          <w:ilvl w:val="0"/>
          <w:numId w:val="6"/>
        </w:numPr>
        <w:rPr>
          <w:rFonts w:ascii="Arial" w:cs="Arial" w:eastAsia="Arial" w:hAnsi="Arial"/>
          <w:sz w:val="17"/>
          <w:szCs w:val="17"/>
          <w:color w:val="000080"/>
        </w:rPr>
      </w:pPr>
      <w:r>
        <w:rPr>
          <w:rFonts w:ascii="Arial" w:cs="Arial" w:eastAsia="Arial" w:hAnsi="Arial"/>
          <w:sz w:val="17"/>
          <w:szCs w:val="17"/>
          <w:color w:val="auto"/>
        </w:rPr>
        <w:t xml:space="preserve">O’Shea J, Johansen-Berg H, Trief D, Göbel S, Rushworth MFS. Trief D, et al.Functionally specific reor-ganization in human premotor cortex J . </w:t>
      </w:r>
      <w:r>
        <w:rPr>
          <w:rFonts w:ascii="Arial" w:cs="Arial" w:eastAsia="Arial" w:hAnsi="Arial"/>
          <w:sz w:val="17"/>
          <w:szCs w:val="17"/>
          <w:i w:val="1"/>
          <w:iCs w:val="1"/>
          <w:color w:val="auto"/>
        </w:rPr>
        <w:t>Neuron</w:t>
      </w:r>
      <w:r>
        <w:rPr>
          <w:rFonts w:ascii="Arial" w:cs="Arial" w:eastAsia="Arial" w:hAnsi="Arial"/>
          <w:sz w:val="17"/>
          <w:szCs w:val="17"/>
          <w:color w:val="auto"/>
        </w:rPr>
        <w:t xml:space="preserve">. </w:t>
      </w:r>
      <w:hyperlink w:anchor="page12">
        <w:r>
          <w:rPr>
            <w:rFonts w:ascii="Arial" w:cs="Arial" w:eastAsia="Arial" w:hAnsi="Arial"/>
            <w:sz w:val="17"/>
            <w:szCs w:val="17"/>
            <w:color w:val="000080"/>
          </w:rPr>
          <w:t>2007</w:t>
        </w:r>
      </w:hyperlink>
      <w:r>
        <w:rPr>
          <w:rFonts w:ascii="Arial" w:cs="Arial" w:eastAsia="Arial" w:hAnsi="Arial"/>
          <w:sz w:val="17"/>
          <w:szCs w:val="17"/>
          <w:color w:val="000000"/>
        </w:rPr>
        <w:t>;54(3):479–490.</w:t>
      </w:r>
      <w:r>
        <w:rPr>
          <w:rFonts w:ascii="Arial" w:cs="Arial" w:eastAsia="Arial" w:hAnsi="Arial"/>
          <w:sz w:val="17"/>
          <w:szCs w:val="17"/>
          <w:color w:val="000080"/>
        </w:rPr>
        <w:t xml:space="preserve"> </w:t>
      </w:r>
      <w:r>
        <w:rPr>
          <w:rFonts w:ascii="Arial" w:cs="Arial" w:eastAsia="Arial" w:hAnsi="Arial"/>
          <w:sz w:val="17"/>
          <w:szCs w:val="17"/>
          <w:color w:val="000000"/>
        </w:rPr>
        <w:t>doi:</w:t>
      </w:r>
      <w:hyperlink r:id="rId77">
        <w:r>
          <w:rPr>
            <w:rFonts w:ascii="Arial" w:cs="Arial" w:eastAsia="Arial" w:hAnsi="Arial"/>
            <w:sz w:val="17"/>
            <w:szCs w:val="17"/>
            <w:color w:val="000080"/>
          </w:rPr>
          <w:t>10.1016/j.neuron.2007.04.021</w:t>
        </w:r>
      </w:hyperlink>
      <w:r>
        <w:rPr>
          <w:rFonts w:ascii="Arial" w:cs="Arial" w:eastAsia="Arial" w:hAnsi="Arial"/>
          <w:sz w:val="17"/>
          <w:szCs w:val="17"/>
          <w:color w:val="000000"/>
        </w:rPr>
        <w:t>.</w:t>
      </w:r>
    </w:p>
    <w:p>
      <w:pPr>
        <w:spacing w:after="0" w:line="1" w:lineRule="exact"/>
        <w:rPr>
          <w:rFonts w:ascii="Arial" w:cs="Arial" w:eastAsia="Arial" w:hAnsi="Arial"/>
          <w:sz w:val="17"/>
          <w:szCs w:val="17"/>
          <w:color w:val="000080"/>
        </w:rPr>
      </w:pPr>
    </w:p>
    <w:p>
      <w:pPr>
        <w:jc w:val="both"/>
        <w:ind w:left="316" w:hanging="316"/>
        <w:spacing w:after="0" w:line="263" w:lineRule="auto"/>
        <w:tabs>
          <w:tab w:leader="none" w:pos="316" w:val="left"/>
        </w:tabs>
        <w:numPr>
          <w:ilvl w:val="0"/>
          <w:numId w:val="6"/>
        </w:numPr>
        <w:rPr>
          <w:rFonts w:ascii="Arial" w:cs="Arial" w:eastAsia="Arial" w:hAnsi="Arial"/>
          <w:sz w:val="19"/>
          <w:szCs w:val="19"/>
          <w:color w:val="000080"/>
        </w:rPr>
      </w:pPr>
      <w:r>
        <w:rPr>
          <w:rFonts w:ascii="Arial" w:cs="Arial" w:eastAsia="Arial" w:hAnsi="Arial"/>
          <w:sz w:val="19"/>
          <w:szCs w:val="19"/>
          <w:color w:val="auto"/>
        </w:rPr>
        <w:t xml:space="preserve">Belardinelli P, Laer L, Ortiz E, et al. Plasticity of premotor cortico-muscular coherence in severely impaired stroke patients with hand paralysis J . </w:t>
      </w:r>
      <w:r>
        <w:rPr>
          <w:rFonts w:ascii="Arial" w:cs="Arial" w:eastAsia="Arial" w:hAnsi="Arial"/>
          <w:sz w:val="19"/>
          <w:szCs w:val="19"/>
          <w:i w:val="1"/>
          <w:iCs w:val="1"/>
          <w:color w:val="auto"/>
        </w:rPr>
        <w:t>Neuroimage Clin</w:t>
      </w:r>
      <w:r>
        <w:rPr>
          <w:rFonts w:ascii="Arial" w:cs="Arial" w:eastAsia="Arial" w:hAnsi="Arial"/>
          <w:sz w:val="19"/>
          <w:szCs w:val="19"/>
          <w:color w:val="auto"/>
        </w:rPr>
        <w:t>.</w:t>
      </w:r>
      <w:r>
        <w:rPr>
          <w:rFonts w:ascii="Arial" w:cs="Arial" w:eastAsia="Arial" w:hAnsi="Arial"/>
          <w:sz w:val="19"/>
          <w:szCs w:val="19"/>
          <w:i w:val="1"/>
          <w:iCs w:val="1"/>
          <w:color w:val="auto"/>
        </w:rPr>
        <w:t xml:space="preserve"> </w:t>
      </w:r>
      <w:hyperlink w:anchor="page12">
        <w:r>
          <w:rPr>
            <w:rFonts w:ascii="Arial" w:cs="Arial" w:eastAsia="Arial" w:hAnsi="Arial"/>
            <w:sz w:val="19"/>
            <w:szCs w:val="19"/>
            <w:color w:val="000080"/>
          </w:rPr>
          <w:t>2017</w:t>
        </w:r>
      </w:hyperlink>
      <w:r>
        <w:rPr>
          <w:rFonts w:ascii="Arial" w:cs="Arial" w:eastAsia="Arial" w:hAnsi="Arial"/>
          <w:sz w:val="19"/>
          <w:szCs w:val="19"/>
          <w:color w:val="auto"/>
        </w:rPr>
        <w:t>;14:726–733.</w:t>
      </w:r>
      <w:r>
        <w:rPr>
          <w:rFonts w:ascii="Arial" w:cs="Arial" w:eastAsia="Arial" w:hAnsi="Arial"/>
          <w:sz w:val="19"/>
          <w:szCs w:val="19"/>
          <w:i w:val="1"/>
          <w:iCs w:val="1"/>
          <w:color w:val="auto"/>
        </w:rPr>
        <w:t xml:space="preserve"> </w:t>
      </w:r>
      <w:r>
        <w:rPr>
          <w:rFonts w:ascii="Arial" w:cs="Arial" w:eastAsia="Arial" w:hAnsi="Arial"/>
          <w:sz w:val="19"/>
          <w:szCs w:val="19"/>
          <w:color w:val="auto"/>
        </w:rPr>
        <w:t>doi:</w:t>
      </w:r>
      <w:hyperlink r:id="rId78">
        <w:r>
          <w:rPr>
            <w:rFonts w:ascii="Arial" w:cs="Arial" w:eastAsia="Arial" w:hAnsi="Arial"/>
            <w:sz w:val="19"/>
            <w:szCs w:val="19"/>
            <w:color w:val="000080"/>
          </w:rPr>
          <w:t>10.1016/j.</w:t>
        </w:r>
      </w:hyperlink>
      <w:r>
        <w:rPr>
          <w:rFonts w:ascii="Arial" w:cs="Arial" w:eastAsia="Arial" w:hAnsi="Arial"/>
          <w:sz w:val="19"/>
          <w:szCs w:val="19"/>
          <w:i w:val="1"/>
          <w:iCs w:val="1"/>
          <w:color w:val="auto"/>
        </w:rPr>
        <w:t xml:space="preserve"> </w:t>
      </w:r>
      <w:hyperlink r:id="rId78">
        <w:r>
          <w:rPr>
            <w:rFonts w:ascii="Arial" w:cs="Arial" w:eastAsia="Arial" w:hAnsi="Arial"/>
            <w:sz w:val="19"/>
            <w:szCs w:val="19"/>
            <w:color w:val="000080"/>
          </w:rPr>
          <w:t>nicl.2017.03.005</w:t>
        </w:r>
      </w:hyperlink>
      <w:r>
        <w:rPr>
          <w:rFonts w:ascii="Arial" w:cs="Arial" w:eastAsia="Arial" w:hAnsi="Arial"/>
          <w:sz w:val="19"/>
          <w:szCs w:val="19"/>
          <w:color w:val="000000"/>
        </w:rPr>
        <w:t>.</w:t>
      </w:r>
    </w:p>
    <w:p>
      <w:pPr>
        <w:spacing w:after="0" w:line="3" w:lineRule="exact"/>
        <w:rPr>
          <w:rFonts w:ascii="Arial" w:cs="Arial" w:eastAsia="Arial" w:hAnsi="Arial"/>
          <w:sz w:val="19"/>
          <w:szCs w:val="19"/>
          <w:color w:val="000080"/>
        </w:rPr>
      </w:pPr>
    </w:p>
    <w:p>
      <w:pPr>
        <w:jc w:val="both"/>
        <w:ind w:left="316" w:hanging="316"/>
        <w:spacing w:after="0" w:line="275" w:lineRule="auto"/>
        <w:tabs>
          <w:tab w:leader="none" w:pos="316" w:val="left"/>
        </w:tabs>
        <w:numPr>
          <w:ilvl w:val="0"/>
          <w:numId w:val="6"/>
        </w:numPr>
        <w:rPr>
          <w:rFonts w:ascii="Arial" w:cs="Arial" w:eastAsia="Arial" w:hAnsi="Arial"/>
          <w:sz w:val="19"/>
          <w:szCs w:val="19"/>
          <w:color w:val="000080"/>
        </w:rPr>
      </w:pPr>
      <w:r>
        <w:rPr>
          <w:rFonts w:ascii="Arial" w:cs="Arial" w:eastAsia="Arial" w:hAnsi="Arial"/>
          <w:sz w:val="19"/>
          <w:szCs w:val="19"/>
          <w:color w:val="auto"/>
        </w:rPr>
        <w:t xml:space="preserve">Ago T, Kitazono T, Ooboshi H, et al. Deterioration of pre-existing hemiparesis brought about by subsequent ipsilat-eral lacunar infarction J . </w:t>
      </w:r>
      <w:r>
        <w:rPr>
          <w:rFonts w:ascii="Arial" w:cs="Arial" w:eastAsia="Arial" w:hAnsi="Arial"/>
          <w:sz w:val="19"/>
          <w:szCs w:val="19"/>
          <w:i w:val="1"/>
          <w:iCs w:val="1"/>
          <w:color w:val="auto"/>
        </w:rPr>
        <w:t>J Neurol Neurosurg</w:t>
      </w:r>
      <w:r>
        <w:rPr>
          <w:rFonts w:ascii="Arial" w:cs="Arial" w:eastAsia="Arial" w:hAnsi="Arial"/>
          <w:sz w:val="19"/>
          <w:szCs w:val="19"/>
          <w:color w:val="auto"/>
        </w:rPr>
        <w:t xml:space="preserve"> </w:t>
      </w:r>
      <w:r>
        <w:rPr>
          <w:rFonts w:ascii="Arial" w:cs="Arial" w:eastAsia="Arial" w:hAnsi="Arial"/>
          <w:sz w:val="19"/>
          <w:szCs w:val="19"/>
          <w:i w:val="1"/>
          <w:iCs w:val="1"/>
          <w:color w:val="auto"/>
        </w:rPr>
        <w:t>Psychiatry</w:t>
      </w:r>
      <w:r>
        <w:rPr>
          <w:rFonts w:ascii="Arial" w:cs="Arial" w:eastAsia="Arial" w:hAnsi="Arial"/>
          <w:sz w:val="19"/>
          <w:szCs w:val="19"/>
          <w:color w:val="auto"/>
        </w:rPr>
        <w:t>.</w:t>
      </w:r>
      <w:r>
        <w:rPr>
          <w:rFonts w:ascii="Arial" w:cs="Arial" w:eastAsia="Arial" w:hAnsi="Arial"/>
          <w:sz w:val="19"/>
          <w:szCs w:val="19"/>
          <w:i w:val="1"/>
          <w:iCs w:val="1"/>
          <w:color w:val="auto"/>
        </w:rPr>
        <w:t xml:space="preserve"> </w:t>
      </w:r>
      <w:hyperlink w:anchor="page12">
        <w:r>
          <w:rPr>
            <w:rFonts w:ascii="Arial" w:cs="Arial" w:eastAsia="Arial" w:hAnsi="Arial"/>
            <w:sz w:val="19"/>
            <w:szCs w:val="19"/>
            <w:color w:val="000080"/>
          </w:rPr>
          <w:t>2003</w:t>
        </w:r>
      </w:hyperlink>
      <w:r>
        <w:rPr>
          <w:rFonts w:ascii="Arial" w:cs="Arial" w:eastAsia="Arial" w:hAnsi="Arial"/>
          <w:sz w:val="19"/>
          <w:szCs w:val="19"/>
          <w:color w:val="auto"/>
        </w:rPr>
        <w:t>;74(8):1152–1153.</w:t>
      </w:r>
      <w:r>
        <w:rPr>
          <w:rFonts w:ascii="Arial" w:cs="Arial" w:eastAsia="Arial" w:hAnsi="Arial"/>
          <w:sz w:val="19"/>
          <w:szCs w:val="19"/>
          <w:i w:val="1"/>
          <w:iCs w:val="1"/>
          <w:color w:val="auto"/>
        </w:rPr>
        <w:t xml:space="preserve"> </w:t>
      </w:r>
      <w:r>
        <w:rPr>
          <w:rFonts w:ascii="Arial" w:cs="Arial" w:eastAsia="Arial" w:hAnsi="Arial"/>
          <w:sz w:val="19"/>
          <w:szCs w:val="19"/>
          <w:color w:val="auto"/>
        </w:rPr>
        <w:t>doi:</w:t>
      </w:r>
      <w:hyperlink r:id="rId79">
        <w:r>
          <w:rPr>
            <w:rFonts w:ascii="Arial" w:cs="Arial" w:eastAsia="Arial" w:hAnsi="Arial"/>
            <w:sz w:val="19"/>
            <w:szCs w:val="19"/>
            <w:color w:val="000080"/>
          </w:rPr>
          <w:t>10.1136/jnnp.74.8.</w:t>
        </w:r>
      </w:hyperlink>
      <w:r>
        <w:rPr>
          <w:rFonts w:ascii="Arial" w:cs="Arial" w:eastAsia="Arial" w:hAnsi="Arial"/>
          <w:sz w:val="19"/>
          <w:szCs w:val="19"/>
          <w:i w:val="1"/>
          <w:iCs w:val="1"/>
          <w:color w:val="auto"/>
        </w:rPr>
        <w:t xml:space="preserve"> </w:t>
      </w:r>
      <w:hyperlink r:id="rId79">
        <w:r>
          <w:rPr>
            <w:rFonts w:ascii="Arial" w:cs="Arial" w:eastAsia="Arial" w:hAnsi="Arial"/>
            <w:sz w:val="19"/>
            <w:szCs w:val="19"/>
            <w:color w:val="000080"/>
          </w:rPr>
          <w:t>1152</w:t>
        </w:r>
      </w:hyperlink>
      <w:r>
        <w:rPr>
          <w:rFonts w:ascii="Arial" w:cs="Arial" w:eastAsia="Arial" w:hAnsi="Arial"/>
          <w:sz w:val="19"/>
          <w:szCs w:val="19"/>
          <w:color w:val="000000"/>
        </w:rPr>
        <w:t>.</w:t>
      </w:r>
    </w:p>
    <w:p>
      <w:pPr>
        <w:spacing w:after="0" w:line="20" w:lineRule="exact"/>
        <w:rPr>
          <w:rFonts w:ascii="Arial" w:cs="Arial" w:eastAsia="Arial" w:hAnsi="Arial"/>
          <w:sz w:val="19"/>
          <w:szCs w:val="19"/>
          <w:i w:val="1"/>
          <w:iCs w:val="1"/>
          <w:color w:val="auto"/>
        </w:rPr>
      </w:pPr>
      <w:r>
        <w:rPr>
          <w:rFonts w:ascii="Arial" w:cs="Arial" w:eastAsia="Arial" w:hAnsi="Arial"/>
          <w:sz w:val="19"/>
          <w:szCs w:val="19"/>
          <w:i w:val="1"/>
          <w:iCs w:val="1"/>
          <w:color w:val="auto"/>
        </w:rPr>
        <w:br w:type="column"/>
      </w:r>
    </w:p>
    <w:p>
      <w:pPr>
        <w:spacing w:after="0" w:line="1" w:lineRule="exact"/>
        <w:rPr>
          <w:rFonts w:ascii="Arial" w:cs="Arial" w:eastAsia="Arial" w:hAnsi="Arial"/>
          <w:sz w:val="1"/>
          <w:szCs w:val="1"/>
          <w:i w:val="1"/>
          <w:iCs w:val="1"/>
          <w:color w:val="auto"/>
        </w:rPr>
      </w:pPr>
    </w:p>
    <w:tbl>
      <w:tblPr>
        <w:tblLayout w:type="fixed"/>
        <w:tblInd w:w="1556" w:type="dxa"/>
        <w:tblCellMar>
          <w:top w:w="0" w:type="dxa"/>
          <w:left w:w="0" w:type="dxa"/>
          <w:bottom w:w="0" w:type="dxa"/>
          <w:right w:w="0" w:type="dxa"/>
        </w:tblCellMar>
      </w:tblPr>
      <w:tr>
        <w:trPr>
          <w:trHeight w:val="178"/>
        </w:trPr>
        <w:tc>
          <w:tcPr>
            <w:tcW w:w="2600" w:type="dxa"/>
            <w:vAlign w:val="bottom"/>
          </w:tcPr>
          <w:p>
            <w:pPr>
              <w:spacing w:after="0"/>
              <w:rPr>
                <w:sz w:val="20"/>
                <w:szCs w:val="20"/>
                <w:color w:val="auto"/>
              </w:rPr>
            </w:pPr>
            <w:r>
              <w:rPr>
                <w:rFonts w:ascii="Arial" w:cs="Arial" w:eastAsia="Arial" w:hAnsi="Arial"/>
                <w:sz w:val="15"/>
                <w:szCs w:val="15"/>
                <w:color w:val="auto"/>
                <w:w w:val="96"/>
              </w:rPr>
              <w:t>TOPICS IN STROKE REHABILITATION</w:t>
            </w:r>
          </w:p>
        </w:tc>
        <w:tc>
          <w:tcPr>
            <w:tcW w:w="420" w:type="dxa"/>
            <w:vAlign w:val="bottom"/>
          </w:tcPr>
          <w:p>
            <w:pPr>
              <w:jc w:val="right"/>
              <w:spacing w:after="0"/>
              <w:rPr>
                <w:sz w:val="20"/>
                <w:szCs w:val="20"/>
                <w:color w:val="auto"/>
              </w:rPr>
            </w:pPr>
            <w:r>
              <w:rPr>
                <w:rFonts w:ascii="Arial" w:cs="Arial" w:eastAsia="Arial" w:hAnsi="Arial"/>
                <w:sz w:val="15"/>
                <w:szCs w:val="15"/>
                <w:color w:val="auto"/>
              </w:rPr>
              <w:t>13</w:t>
            </w:r>
          </w:p>
        </w:tc>
      </w:tr>
    </w:tbl>
    <w:p>
      <w:pPr>
        <w:spacing w:after="0" w:line="20" w:lineRule="exact"/>
        <w:rPr>
          <w:rFonts w:ascii="Arial" w:cs="Arial" w:eastAsia="Arial" w:hAnsi="Arial"/>
          <w:sz w:val="19"/>
          <w:szCs w:val="19"/>
          <w:i w:val="1"/>
          <w:iCs w:val="1"/>
          <w:color w:val="auto"/>
        </w:rPr>
      </w:pPr>
      <w:r>
        <w:rPr>
          <w:rFonts w:ascii="Arial" w:cs="Arial" w:eastAsia="Arial" w:hAnsi="Arial"/>
          <w:sz w:val="19"/>
          <w:szCs w:val="19"/>
          <w:i w:val="1"/>
          <w:iCs w:val="1"/>
          <w:color w:val="auto"/>
        </w:rPr>
        <w:drawing>
          <wp:anchor simplePos="0" relativeHeight="251657728" behindDoc="1" locked="0" layoutInCell="0" allowOverlap="1">
            <wp:simplePos x="0" y="0"/>
            <wp:positionH relativeFrom="column">
              <wp:posOffset>2569845</wp:posOffset>
            </wp:positionH>
            <wp:positionV relativeFrom="paragraph">
              <wp:posOffset>-123190</wp:posOffset>
            </wp:positionV>
            <wp:extent cx="139700" cy="13970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0">
                      <a:extLst>
                        <a:ext uri="{28A0092B-C50C-407E-A947-70E740481C1C}"/>
                      </a:extLst>
                    </a:blip>
                    <a:srcRect/>
                    <a:stretch>
                      <a:fillRect/>
                    </a:stretch>
                  </pic:blipFill>
                  <pic:spPr bwMode="auto">
                    <a:xfrm>
                      <a:off x="0" y="0"/>
                      <a:ext cx="139700" cy="139700"/>
                    </a:xfrm>
                    <a:prstGeom prst="rect">
                      <a:avLst/>
                    </a:prstGeom>
                    <a:noFill/>
                  </pic:spPr>
                </pic:pic>
              </a:graphicData>
            </a:graphic>
          </wp:anchor>
        </w:drawing>
      </w:r>
    </w:p>
    <w:p>
      <w:pPr>
        <w:spacing w:after="0" w:line="299" w:lineRule="exact"/>
        <w:rPr>
          <w:rFonts w:ascii="Arial" w:cs="Arial" w:eastAsia="Arial" w:hAnsi="Arial"/>
          <w:sz w:val="19"/>
          <w:szCs w:val="19"/>
          <w:i w:val="1"/>
          <w:iCs w:val="1"/>
          <w:color w:val="auto"/>
        </w:rPr>
      </w:pPr>
    </w:p>
    <w:p>
      <w:pPr>
        <w:jc w:val="both"/>
        <w:ind w:left="316" w:hanging="316"/>
        <w:spacing w:after="0" w:line="295" w:lineRule="auto"/>
        <w:tabs>
          <w:tab w:leader="none" w:pos="316" w:val="left"/>
        </w:tabs>
        <w:numPr>
          <w:ilvl w:val="0"/>
          <w:numId w:val="7"/>
        </w:numPr>
        <w:rPr>
          <w:rFonts w:ascii="Arial" w:cs="Arial" w:eastAsia="Arial" w:hAnsi="Arial"/>
          <w:sz w:val="17"/>
          <w:szCs w:val="17"/>
          <w:color w:val="000080"/>
        </w:rPr>
      </w:pPr>
      <w:r>
        <w:rPr>
          <w:rFonts w:ascii="Arial" w:cs="Arial" w:eastAsia="Arial" w:hAnsi="Arial"/>
          <w:sz w:val="17"/>
          <w:szCs w:val="17"/>
          <w:color w:val="auto"/>
        </w:rPr>
        <w:t xml:space="preserve">Fisher CM. Concerning the mechanism of recovery in stroke hemiplegia J . </w:t>
      </w:r>
      <w:r>
        <w:rPr>
          <w:rFonts w:ascii="Arial" w:cs="Arial" w:eastAsia="Arial" w:hAnsi="Arial"/>
          <w:sz w:val="17"/>
          <w:szCs w:val="17"/>
          <w:i w:val="1"/>
          <w:iCs w:val="1"/>
          <w:color w:val="auto"/>
        </w:rPr>
        <w:t>Case Rep Can J Neurol Sci</w:t>
      </w:r>
      <w:r>
        <w:rPr>
          <w:rFonts w:ascii="Arial" w:cs="Arial" w:eastAsia="Arial" w:hAnsi="Arial"/>
          <w:sz w:val="17"/>
          <w:szCs w:val="17"/>
          <w:color w:val="auto"/>
        </w:rPr>
        <w:t xml:space="preserve">. </w:t>
      </w:r>
      <w:hyperlink w:anchor="page12">
        <w:r>
          <w:rPr>
            <w:rFonts w:ascii="Arial" w:cs="Arial" w:eastAsia="Arial" w:hAnsi="Arial"/>
            <w:sz w:val="17"/>
            <w:szCs w:val="17"/>
            <w:color w:val="000080"/>
          </w:rPr>
          <w:t>1992</w:t>
        </w:r>
      </w:hyperlink>
      <w:r>
        <w:rPr>
          <w:rFonts w:ascii="Arial" w:cs="Arial" w:eastAsia="Arial" w:hAnsi="Arial"/>
          <w:sz w:val="17"/>
          <w:szCs w:val="17"/>
          <w:color w:val="000000"/>
        </w:rPr>
        <w:t>;19(1):57–63.</w:t>
      </w:r>
      <w:r>
        <w:rPr>
          <w:rFonts w:ascii="Arial" w:cs="Arial" w:eastAsia="Arial" w:hAnsi="Arial"/>
          <w:sz w:val="17"/>
          <w:szCs w:val="17"/>
          <w:color w:val="000080"/>
        </w:rPr>
        <w:t xml:space="preserve"> </w:t>
      </w:r>
      <w:r>
        <w:rPr>
          <w:rFonts w:ascii="Arial" w:cs="Arial" w:eastAsia="Arial" w:hAnsi="Arial"/>
          <w:sz w:val="17"/>
          <w:szCs w:val="17"/>
          <w:color w:val="000000"/>
        </w:rPr>
        <w:t>doi:</w:t>
      </w:r>
      <w:hyperlink r:id="rId81">
        <w:r>
          <w:rPr>
            <w:rFonts w:ascii="Arial" w:cs="Arial" w:eastAsia="Arial" w:hAnsi="Arial"/>
            <w:sz w:val="17"/>
            <w:szCs w:val="17"/>
            <w:color w:val="000080"/>
          </w:rPr>
          <w:t>10.1017/S0317167100042542</w:t>
        </w:r>
      </w:hyperlink>
      <w:r>
        <w:rPr>
          <w:rFonts w:ascii="Arial" w:cs="Arial" w:eastAsia="Arial" w:hAnsi="Arial"/>
          <w:sz w:val="17"/>
          <w:szCs w:val="17"/>
          <w:color w:val="000000"/>
        </w:rPr>
        <w:t>.</w:t>
      </w:r>
    </w:p>
    <w:p>
      <w:pPr>
        <w:spacing w:after="0" w:line="2" w:lineRule="exact"/>
        <w:rPr>
          <w:rFonts w:ascii="Arial" w:cs="Arial" w:eastAsia="Arial" w:hAnsi="Arial"/>
          <w:sz w:val="17"/>
          <w:szCs w:val="17"/>
          <w:color w:val="000080"/>
        </w:rPr>
      </w:pPr>
    </w:p>
    <w:p>
      <w:pPr>
        <w:jc w:val="both"/>
        <w:ind w:left="316" w:hanging="316"/>
        <w:spacing w:after="0" w:line="294" w:lineRule="auto"/>
        <w:tabs>
          <w:tab w:leader="none" w:pos="316" w:val="left"/>
        </w:tabs>
        <w:numPr>
          <w:ilvl w:val="0"/>
          <w:numId w:val="7"/>
        </w:numPr>
        <w:rPr>
          <w:rFonts w:ascii="Arial" w:cs="Arial" w:eastAsia="Arial" w:hAnsi="Arial"/>
          <w:sz w:val="17"/>
          <w:szCs w:val="17"/>
          <w:color w:val="000080"/>
        </w:rPr>
      </w:pPr>
      <w:r>
        <w:rPr>
          <w:rFonts w:ascii="Arial" w:cs="Arial" w:eastAsia="Arial" w:hAnsi="Arial"/>
          <w:sz w:val="17"/>
          <w:szCs w:val="17"/>
          <w:color w:val="auto"/>
        </w:rPr>
        <w:t xml:space="preserve">Song YM, Lee JY, Park JM, et al. Ipsilateral hemiparesis caused by a corona radiata infarct after a previous stroke on the opposite side J . </w:t>
      </w:r>
      <w:r>
        <w:rPr>
          <w:rFonts w:ascii="Arial" w:cs="Arial" w:eastAsia="Arial" w:hAnsi="Arial"/>
          <w:sz w:val="17"/>
          <w:szCs w:val="17"/>
          <w:i w:val="1"/>
          <w:iCs w:val="1"/>
          <w:color w:val="auto"/>
        </w:rPr>
        <w:t>Case Rep Arch Neurol</w:t>
      </w:r>
      <w:r>
        <w:rPr>
          <w:rFonts w:ascii="Arial" w:cs="Arial" w:eastAsia="Arial" w:hAnsi="Arial"/>
          <w:sz w:val="17"/>
          <w:szCs w:val="17"/>
          <w:color w:val="auto"/>
        </w:rPr>
        <w:t xml:space="preserve">. </w:t>
      </w:r>
      <w:r>
        <w:rPr>
          <w:rFonts w:ascii="Arial" w:cs="Arial" w:eastAsia="Arial" w:hAnsi="Arial"/>
          <w:sz w:val="17"/>
          <w:szCs w:val="17"/>
          <w:color w:val="000080"/>
        </w:rPr>
        <w:t>2005</w:t>
      </w:r>
      <w:r>
        <w:rPr>
          <w:rFonts w:ascii="Arial" w:cs="Arial" w:eastAsia="Arial" w:hAnsi="Arial"/>
          <w:sz w:val="17"/>
          <w:szCs w:val="17"/>
          <w:color w:val="000000"/>
        </w:rPr>
        <w:t>;62(5):809–811. doi:</w:t>
      </w:r>
      <w:hyperlink r:id="rId82">
        <w:r>
          <w:rPr>
            <w:rFonts w:ascii="Arial" w:cs="Arial" w:eastAsia="Arial" w:hAnsi="Arial"/>
            <w:sz w:val="17"/>
            <w:szCs w:val="17"/>
            <w:color w:val="000080"/>
          </w:rPr>
          <w:t>10.1001/archneur.62.5.809</w:t>
        </w:r>
      </w:hyperlink>
      <w:r>
        <w:rPr>
          <w:rFonts w:ascii="Arial" w:cs="Arial" w:eastAsia="Arial" w:hAnsi="Arial"/>
          <w:sz w:val="17"/>
          <w:szCs w:val="17"/>
          <w:color w:val="000000"/>
        </w:rPr>
        <w:t>.</w:t>
      </w:r>
    </w:p>
    <w:p>
      <w:pPr>
        <w:spacing w:after="0" w:line="1" w:lineRule="exact"/>
        <w:rPr>
          <w:rFonts w:ascii="Arial" w:cs="Arial" w:eastAsia="Arial" w:hAnsi="Arial"/>
          <w:sz w:val="17"/>
          <w:szCs w:val="17"/>
          <w:color w:val="000080"/>
        </w:rPr>
      </w:pPr>
    </w:p>
    <w:p>
      <w:pPr>
        <w:jc w:val="both"/>
        <w:ind w:left="316" w:hanging="316"/>
        <w:spacing w:after="0" w:line="278" w:lineRule="auto"/>
        <w:tabs>
          <w:tab w:leader="none" w:pos="316" w:val="left"/>
        </w:tabs>
        <w:numPr>
          <w:ilvl w:val="0"/>
          <w:numId w:val="7"/>
        </w:numPr>
        <w:rPr>
          <w:rFonts w:ascii="Arial" w:cs="Arial" w:eastAsia="Arial" w:hAnsi="Arial"/>
          <w:sz w:val="18"/>
          <w:szCs w:val="18"/>
          <w:color w:val="000080"/>
        </w:rPr>
      </w:pPr>
      <w:r>
        <w:rPr>
          <w:rFonts w:ascii="Arial" w:cs="Arial" w:eastAsia="Arial" w:hAnsi="Arial"/>
          <w:sz w:val="18"/>
          <w:szCs w:val="18"/>
          <w:color w:val="auto"/>
        </w:rPr>
        <w:t xml:space="preserve">Lake EMR, Bazzigaluppi P, Mester J, et al. Neurovascular unit remodeling in the subacute stage of stroke recovery J . </w:t>
      </w:r>
      <w:r>
        <w:rPr>
          <w:rFonts w:ascii="Arial" w:cs="Arial" w:eastAsia="Arial" w:hAnsi="Arial"/>
          <w:sz w:val="18"/>
          <w:szCs w:val="18"/>
          <w:i w:val="1"/>
          <w:iCs w:val="1"/>
          <w:color w:val="auto"/>
        </w:rPr>
        <w:t>Neuroimage</w:t>
      </w:r>
      <w:r>
        <w:rPr>
          <w:rFonts w:ascii="Arial" w:cs="Arial" w:eastAsia="Arial" w:hAnsi="Arial"/>
          <w:sz w:val="18"/>
          <w:szCs w:val="18"/>
          <w:color w:val="auto"/>
        </w:rPr>
        <w:t xml:space="preserve">. </w:t>
      </w:r>
      <w:r>
        <w:rPr>
          <w:rFonts w:ascii="Arial" w:cs="Arial" w:eastAsia="Arial" w:hAnsi="Arial"/>
          <w:sz w:val="18"/>
          <w:szCs w:val="18"/>
          <w:color w:val="000080"/>
        </w:rPr>
        <w:t>2017</w:t>
      </w:r>
      <w:r>
        <w:rPr>
          <w:rFonts w:ascii="Arial" w:cs="Arial" w:eastAsia="Arial" w:hAnsi="Arial"/>
          <w:sz w:val="18"/>
          <w:szCs w:val="18"/>
          <w:color w:val="auto"/>
        </w:rPr>
        <w:t>;146:869–882. doi:</w:t>
      </w:r>
      <w:hyperlink r:id="rId83">
        <w:r>
          <w:rPr>
            <w:rFonts w:ascii="Arial" w:cs="Arial" w:eastAsia="Arial" w:hAnsi="Arial"/>
            <w:sz w:val="18"/>
            <w:szCs w:val="18"/>
            <w:color w:val="000080"/>
          </w:rPr>
          <w:t>10.1016/j.</w:t>
        </w:r>
      </w:hyperlink>
      <w:r>
        <w:rPr>
          <w:rFonts w:ascii="Arial" w:cs="Arial" w:eastAsia="Arial" w:hAnsi="Arial"/>
          <w:sz w:val="18"/>
          <w:szCs w:val="18"/>
          <w:color w:val="auto"/>
        </w:rPr>
        <w:t xml:space="preserve"> </w:t>
      </w:r>
      <w:hyperlink r:id="rId83">
        <w:r>
          <w:rPr>
            <w:rFonts w:ascii="Arial" w:cs="Arial" w:eastAsia="Arial" w:hAnsi="Arial"/>
            <w:sz w:val="18"/>
            <w:szCs w:val="18"/>
            <w:color w:val="000080"/>
          </w:rPr>
          <w:t>neuroimage.2016.09.016</w:t>
        </w:r>
      </w:hyperlink>
      <w:r>
        <w:rPr>
          <w:rFonts w:ascii="Arial" w:cs="Arial" w:eastAsia="Arial" w:hAnsi="Arial"/>
          <w:sz w:val="18"/>
          <w:szCs w:val="18"/>
          <w:color w:val="000000"/>
        </w:rPr>
        <w:t>.</w:t>
      </w:r>
    </w:p>
    <w:p>
      <w:pPr>
        <w:spacing w:after="0" w:line="1" w:lineRule="exact"/>
        <w:rPr>
          <w:rFonts w:ascii="Arial" w:cs="Arial" w:eastAsia="Arial" w:hAnsi="Arial"/>
          <w:sz w:val="18"/>
          <w:szCs w:val="18"/>
          <w:color w:val="000080"/>
        </w:rPr>
      </w:pPr>
    </w:p>
    <w:p>
      <w:pPr>
        <w:jc w:val="both"/>
        <w:ind w:left="316" w:hanging="316"/>
        <w:spacing w:after="0" w:line="263" w:lineRule="auto"/>
        <w:tabs>
          <w:tab w:leader="none" w:pos="316" w:val="left"/>
        </w:tabs>
        <w:numPr>
          <w:ilvl w:val="0"/>
          <w:numId w:val="7"/>
        </w:numPr>
        <w:rPr>
          <w:rFonts w:ascii="Arial" w:cs="Arial" w:eastAsia="Arial" w:hAnsi="Arial"/>
          <w:sz w:val="19"/>
          <w:szCs w:val="19"/>
          <w:color w:val="000080"/>
        </w:rPr>
      </w:pPr>
      <w:r>
        <w:rPr>
          <w:rFonts w:ascii="Arial" w:cs="Arial" w:eastAsia="Arial" w:hAnsi="Arial"/>
          <w:sz w:val="19"/>
          <w:szCs w:val="19"/>
          <w:color w:val="auto"/>
        </w:rPr>
        <w:t xml:space="preserve">Mohammed H, Hollis ER. Cortical Reorganization of Sensorimotor Systems and the Role of Intracortical Circuits After Spinal Cord Injury J . </w:t>
      </w:r>
      <w:r>
        <w:rPr>
          <w:rFonts w:ascii="Arial" w:cs="Arial" w:eastAsia="Arial" w:hAnsi="Arial"/>
          <w:sz w:val="19"/>
          <w:szCs w:val="19"/>
          <w:i w:val="1"/>
          <w:iCs w:val="1"/>
          <w:color w:val="auto"/>
        </w:rPr>
        <w:t>Neurothe</w:t>
      </w:r>
      <w:r>
        <w:rPr>
          <w:rFonts w:ascii="Arial" w:cs="Arial" w:eastAsia="Arial" w:hAnsi="Arial"/>
          <w:sz w:val="19"/>
          <w:szCs w:val="19"/>
          <w:color w:val="auto"/>
        </w:rPr>
        <w:t xml:space="preserve"> </w:t>
      </w:r>
      <w:r>
        <w:rPr>
          <w:rFonts w:ascii="Arial" w:cs="Arial" w:eastAsia="Arial" w:hAnsi="Arial"/>
          <w:sz w:val="19"/>
          <w:szCs w:val="19"/>
          <w:i w:val="1"/>
          <w:iCs w:val="1"/>
          <w:color w:val="auto"/>
        </w:rPr>
        <w:t>rapeutics</w:t>
      </w:r>
      <w:r>
        <w:rPr>
          <w:rFonts w:ascii="Arial" w:cs="Arial" w:eastAsia="Arial" w:hAnsi="Arial"/>
          <w:sz w:val="19"/>
          <w:szCs w:val="19"/>
          <w:color w:val="auto"/>
        </w:rPr>
        <w:t>.</w:t>
      </w:r>
      <w:r>
        <w:rPr>
          <w:rFonts w:ascii="Arial" w:cs="Arial" w:eastAsia="Arial" w:hAnsi="Arial"/>
          <w:sz w:val="19"/>
          <w:szCs w:val="19"/>
          <w:i w:val="1"/>
          <w:iCs w:val="1"/>
          <w:color w:val="auto"/>
        </w:rPr>
        <w:t xml:space="preserve"> </w:t>
      </w:r>
      <w:hyperlink w:anchor="page12">
        <w:r>
          <w:rPr>
            <w:rFonts w:ascii="Arial" w:cs="Arial" w:eastAsia="Arial" w:hAnsi="Arial"/>
            <w:sz w:val="19"/>
            <w:szCs w:val="19"/>
            <w:color w:val="000080"/>
          </w:rPr>
          <w:t>2018</w:t>
        </w:r>
      </w:hyperlink>
      <w:r>
        <w:rPr>
          <w:rFonts w:ascii="Arial" w:cs="Arial" w:eastAsia="Arial" w:hAnsi="Arial"/>
          <w:sz w:val="19"/>
          <w:szCs w:val="19"/>
          <w:color w:val="auto"/>
        </w:rPr>
        <w:t>;15(3):588–603.</w:t>
      </w:r>
      <w:r>
        <w:rPr>
          <w:rFonts w:ascii="Arial" w:cs="Arial" w:eastAsia="Arial" w:hAnsi="Arial"/>
          <w:sz w:val="19"/>
          <w:szCs w:val="19"/>
          <w:i w:val="1"/>
          <w:iCs w:val="1"/>
          <w:color w:val="auto"/>
        </w:rPr>
        <w:t xml:space="preserve"> </w:t>
      </w:r>
      <w:r>
        <w:rPr>
          <w:rFonts w:ascii="Arial" w:cs="Arial" w:eastAsia="Arial" w:hAnsi="Arial"/>
          <w:sz w:val="19"/>
          <w:szCs w:val="19"/>
          <w:color w:val="auto"/>
        </w:rPr>
        <w:t>doi:</w:t>
      </w:r>
      <w:hyperlink r:id="rId84">
        <w:r>
          <w:rPr>
            <w:rFonts w:ascii="Arial" w:cs="Arial" w:eastAsia="Arial" w:hAnsi="Arial"/>
            <w:sz w:val="19"/>
            <w:szCs w:val="19"/>
            <w:color w:val="000080"/>
          </w:rPr>
          <w:t>10.1007/s13311-018-</w:t>
        </w:r>
      </w:hyperlink>
      <w:hyperlink r:id="rId84">
        <w:r>
          <w:rPr>
            <w:rFonts w:ascii="Arial" w:cs="Arial" w:eastAsia="Arial" w:hAnsi="Arial"/>
            <w:sz w:val="19"/>
            <w:szCs w:val="19"/>
            <w:color w:val="000080"/>
          </w:rPr>
          <w:t>0638-z</w:t>
        </w:r>
      </w:hyperlink>
      <w:r>
        <w:rPr>
          <w:rFonts w:ascii="Arial" w:cs="Arial" w:eastAsia="Arial" w:hAnsi="Arial"/>
          <w:sz w:val="19"/>
          <w:szCs w:val="19"/>
          <w:color w:val="000000"/>
        </w:rPr>
        <w:t>.</w:t>
      </w:r>
    </w:p>
    <w:p>
      <w:pPr>
        <w:spacing w:after="0" w:line="2" w:lineRule="exact"/>
        <w:rPr>
          <w:rFonts w:ascii="Arial" w:cs="Arial" w:eastAsia="Arial" w:hAnsi="Arial"/>
          <w:sz w:val="19"/>
          <w:szCs w:val="19"/>
          <w:color w:val="000080"/>
        </w:rPr>
      </w:pPr>
    </w:p>
    <w:p>
      <w:pPr>
        <w:jc w:val="both"/>
        <w:ind w:left="316" w:hanging="316"/>
        <w:spacing w:after="0" w:line="294" w:lineRule="auto"/>
        <w:tabs>
          <w:tab w:leader="none" w:pos="316" w:val="left"/>
        </w:tabs>
        <w:numPr>
          <w:ilvl w:val="0"/>
          <w:numId w:val="7"/>
        </w:numPr>
        <w:rPr>
          <w:rFonts w:ascii="Arial" w:cs="Arial" w:eastAsia="Arial" w:hAnsi="Arial"/>
          <w:sz w:val="17"/>
          <w:szCs w:val="17"/>
          <w:color w:val="auto"/>
        </w:rPr>
      </w:pPr>
      <w:r>
        <w:rPr>
          <w:rFonts w:ascii="Arial" w:cs="Arial" w:eastAsia="Arial" w:hAnsi="Arial"/>
          <w:sz w:val="17"/>
          <w:szCs w:val="17"/>
          <w:color w:val="auto"/>
        </w:rPr>
        <w:t xml:space="preserve">Hummel F, Kirsammer R, Gerloff C. Ipsilateral cortical activation during finger sequences of increasing complex-ity: representation of movement difficulty or memory load? J . </w:t>
      </w:r>
      <w:r>
        <w:rPr>
          <w:rFonts w:ascii="Arial" w:cs="Arial" w:eastAsia="Arial" w:hAnsi="Arial"/>
          <w:sz w:val="17"/>
          <w:szCs w:val="17"/>
          <w:i w:val="1"/>
          <w:iCs w:val="1"/>
          <w:color w:val="auto"/>
        </w:rPr>
        <w:t>Clin Neurophysiol</w:t>
      </w:r>
      <w:r>
        <w:rPr>
          <w:rFonts w:ascii="Arial" w:cs="Arial" w:eastAsia="Arial" w:hAnsi="Arial"/>
          <w:sz w:val="17"/>
          <w:szCs w:val="17"/>
          <w:color w:val="auto"/>
        </w:rPr>
        <w:t xml:space="preserve">. </w:t>
      </w:r>
      <w:hyperlink w:anchor="page12">
        <w:r>
          <w:rPr>
            <w:rFonts w:ascii="Arial" w:cs="Arial" w:eastAsia="Arial" w:hAnsi="Arial"/>
            <w:sz w:val="17"/>
            <w:szCs w:val="17"/>
            <w:color w:val="000080"/>
          </w:rPr>
          <w:t>2003</w:t>
        </w:r>
      </w:hyperlink>
      <w:r>
        <w:rPr>
          <w:rFonts w:ascii="Arial" w:cs="Arial" w:eastAsia="Arial" w:hAnsi="Arial"/>
          <w:sz w:val="17"/>
          <w:szCs w:val="17"/>
          <w:color w:val="auto"/>
        </w:rPr>
        <w:t>;114(4):605–613. doi:</w:t>
      </w:r>
      <w:hyperlink r:id="rId85">
        <w:r>
          <w:rPr>
            <w:rFonts w:ascii="Arial" w:cs="Arial" w:eastAsia="Arial" w:hAnsi="Arial"/>
            <w:sz w:val="17"/>
            <w:szCs w:val="17"/>
            <w:color w:val="000080"/>
          </w:rPr>
          <w:t>10.1016/S1388-2457(02)00417-0</w:t>
        </w:r>
      </w:hyperlink>
      <w:r>
        <w:rPr>
          <w:rFonts w:ascii="Arial" w:cs="Arial" w:eastAsia="Arial" w:hAnsi="Arial"/>
          <w:sz w:val="17"/>
          <w:szCs w:val="17"/>
          <w:color w:val="auto"/>
        </w:rPr>
        <w:t>.</w:t>
      </w:r>
    </w:p>
    <w:p>
      <w:pPr>
        <w:spacing w:after="0" w:line="3" w:lineRule="exact"/>
        <w:rPr>
          <w:rFonts w:ascii="Arial" w:cs="Arial" w:eastAsia="Arial" w:hAnsi="Arial"/>
          <w:sz w:val="17"/>
          <w:szCs w:val="17"/>
          <w:color w:val="auto"/>
        </w:rPr>
      </w:pPr>
    </w:p>
    <w:p>
      <w:pPr>
        <w:jc w:val="both"/>
        <w:ind w:left="316" w:hanging="316"/>
        <w:spacing w:after="0" w:line="278" w:lineRule="auto"/>
        <w:tabs>
          <w:tab w:leader="none" w:pos="316" w:val="left"/>
        </w:tabs>
        <w:numPr>
          <w:ilvl w:val="0"/>
          <w:numId w:val="7"/>
        </w:numPr>
        <w:rPr>
          <w:rFonts w:ascii="Arial" w:cs="Arial" w:eastAsia="Arial" w:hAnsi="Arial"/>
          <w:sz w:val="18"/>
          <w:szCs w:val="18"/>
          <w:color w:val="auto"/>
        </w:rPr>
      </w:pPr>
      <w:r>
        <w:rPr>
          <w:rFonts w:ascii="Arial" w:cs="Arial" w:eastAsia="Arial" w:hAnsi="Arial"/>
          <w:sz w:val="18"/>
          <w:szCs w:val="18"/>
          <w:color w:val="auto"/>
        </w:rPr>
        <w:t xml:space="preserve">Haaland KY, Harrington DL. Hemispheric control of the initial and corrective components of aiming move-ments J . </w:t>
      </w:r>
      <w:r>
        <w:rPr>
          <w:rFonts w:ascii="Arial" w:cs="Arial" w:eastAsia="Arial" w:hAnsi="Arial"/>
          <w:sz w:val="18"/>
          <w:szCs w:val="18"/>
          <w:i w:val="1"/>
          <w:iCs w:val="1"/>
          <w:color w:val="auto"/>
        </w:rPr>
        <w:t>Neuropsychologia</w:t>
      </w:r>
      <w:r>
        <w:rPr>
          <w:rFonts w:ascii="Arial" w:cs="Arial" w:eastAsia="Arial" w:hAnsi="Arial"/>
          <w:sz w:val="18"/>
          <w:szCs w:val="18"/>
          <w:color w:val="auto"/>
        </w:rPr>
        <w:t xml:space="preserve">. </w:t>
      </w:r>
      <w:hyperlink w:anchor="page12">
        <w:r>
          <w:rPr>
            <w:rFonts w:ascii="Arial" w:cs="Arial" w:eastAsia="Arial" w:hAnsi="Arial"/>
            <w:sz w:val="18"/>
            <w:szCs w:val="18"/>
            <w:color w:val="000080"/>
          </w:rPr>
          <w:t>1989</w:t>
        </w:r>
      </w:hyperlink>
      <w:r>
        <w:rPr>
          <w:rFonts w:ascii="Arial" w:cs="Arial" w:eastAsia="Arial" w:hAnsi="Arial"/>
          <w:sz w:val="18"/>
          <w:szCs w:val="18"/>
          <w:color w:val="auto"/>
        </w:rPr>
        <w:t>;27(7):961–969. doi:</w:t>
      </w:r>
      <w:hyperlink r:id="rId86">
        <w:r>
          <w:rPr>
            <w:rFonts w:ascii="Arial" w:cs="Arial" w:eastAsia="Arial" w:hAnsi="Arial"/>
            <w:sz w:val="18"/>
            <w:szCs w:val="18"/>
            <w:color w:val="000080"/>
          </w:rPr>
          <w:t>10.1016/0028-3932(89)90071-7</w:t>
        </w:r>
      </w:hyperlink>
      <w:r>
        <w:rPr>
          <w:rFonts w:ascii="Arial" w:cs="Arial" w:eastAsia="Arial" w:hAnsi="Arial"/>
          <w:sz w:val="18"/>
          <w:szCs w:val="18"/>
          <w:color w:val="auto"/>
        </w:rPr>
        <w:t>.</w:t>
      </w:r>
    </w:p>
    <w:p>
      <w:pPr>
        <w:jc w:val="both"/>
        <w:ind w:left="316" w:hanging="316"/>
        <w:spacing w:after="0" w:line="263" w:lineRule="auto"/>
        <w:tabs>
          <w:tab w:leader="none" w:pos="316" w:val="left"/>
        </w:tabs>
        <w:numPr>
          <w:ilvl w:val="0"/>
          <w:numId w:val="7"/>
        </w:numPr>
        <w:rPr>
          <w:rFonts w:ascii="Arial" w:cs="Arial" w:eastAsia="Arial" w:hAnsi="Arial"/>
          <w:sz w:val="19"/>
          <w:szCs w:val="19"/>
          <w:color w:val="auto"/>
        </w:rPr>
      </w:pPr>
      <w:r>
        <w:rPr>
          <w:rFonts w:ascii="Arial" w:cs="Arial" w:eastAsia="Arial" w:hAnsi="Arial"/>
          <w:sz w:val="19"/>
          <w:szCs w:val="19"/>
          <w:color w:val="auto"/>
        </w:rPr>
        <w:t xml:space="preserve">Haaland KY, Prestopnik JL, Knight RT, et al. Hemispheric asymmetries for kinematic and positional aspects of reaching J . </w:t>
      </w:r>
      <w:r>
        <w:rPr>
          <w:rFonts w:ascii="Arial" w:cs="Arial" w:eastAsia="Arial" w:hAnsi="Arial"/>
          <w:sz w:val="19"/>
          <w:szCs w:val="19"/>
          <w:i w:val="1"/>
          <w:iCs w:val="1"/>
          <w:color w:val="auto"/>
        </w:rPr>
        <w:t>Brain</w:t>
      </w:r>
      <w:r>
        <w:rPr>
          <w:rFonts w:ascii="Arial" w:cs="Arial" w:eastAsia="Arial" w:hAnsi="Arial"/>
          <w:sz w:val="19"/>
          <w:szCs w:val="19"/>
          <w:color w:val="auto"/>
        </w:rPr>
        <w:t xml:space="preserve">. </w:t>
      </w:r>
      <w:hyperlink w:anchor="page12">
        <w:r>
          <w:rPr>
            <w:rFonts w:ascii="Arial" w:cs="Arial" w:eastAsia="Arial" w:hAnsi="Arial"/>
            <w:sz w:val="19"/>
            <w:szCs w:val="19"/>
            <w:color w:val="000080"/>
          </w:rPr>
          <w:t>2004</w:t>
        </w:r>
      </w:hyperlink>
      <w:r>
        <w:rPr>
          <w:rFonts w:ascii="Arial" w:cs="Arial" w:eastAsia="Arial" w:hAnsi="Arial"/>
          <w:sz w:val="19"/>
          <w:szCs w:val="19"/>
          <w:color w:val="auto"/>
        </w:rPr>
        <w:t>;127:1145–1158. doi:</w:t>
      </w:r>
      <w:hyperlink r:id="rId87">
        <w:r>
          <w:rPr>
            <w:rFonts w:ascii="Arial" w:cs="Arial" w:eastAsia="Arial" w:hAnsi="Arial"/>
            <w:sz w:val="19"/>
            <w:szCs w:val="19"/>
            <w:color w:val="000080"/>
          </w:rPr>
          <w:t>10.1093/brain/awh133</w:t>
        </w:r>
      </w:hyperlink>
      <w:r>
        <w:rPr>
          <w:rFonts w:ascii="Arial" w:cs="Arial" w:eastAsia="Arial" w:hAnsi="Arial"/>
          <w:sz w:val="19"/>
          <w:szCs w:val="19"/>
          <w:color w:val="auto"/>
        </w:rPr>
        <w:t>.</w:t>
      </w:r>
    </w:p>
    <w:p>
      <w:pPr>
        <w:spacing w:after="0" w:line="2" w:lineRule="exact"/>
        <w:rPr>
          <w:rFonts w:ascii="Arial" w:cs="Arial" w:eastAsia="Arial" w:hAnsi="Arial"/>
          <w:sz w:val="19"/>
          <w:szCs w:val="19"/>
          <w:color w:val="auto"/>
        </w:rPr>
      </w:pPr>
    </w:p>
    <w:p>
      <w:pPr>
        <w:jc w:val="both"/>
        <w:ind w:left="316" w:hanging="316"/>
        <w:spacing w:after="0" w:line="287" w:lineRule="auto"/>
        <w:tabs>
          <w:tab w:leader="none" w:pos="316" w:val="left"/>
        </w:tabs>
        <w:numPr>
          <w:ilvl w:val="0"/>
          <w:numId w:val="7"/>
        </w:numPr>
        <w:rPr>
          <w:rFonts w:ascii="Arial" w:cs="Arial" w:eastAsia="Arial" w:hAnsi="Arial"/>
          <w:sz w:val="18"/>
          <w:szCs w:val="18"/>
          <w:color w:val="000080"/>
        </w:rPr>
      </w:pPr>
      <w:r>
        <w:rPr>
          <w:rFonts w:ascii="Arial" w:cs="Arial" w:eastAsia="Arial" w:hAnsi="Arial"/>
          <w:sz w:val="18"/>
          <w:szCs w:val="18"/>
          <w:color w:val="auto"/>
        </w:rPr>
        <w:t xml:space="preserve">Swayne OB, Rothwell JC, Ward NS, et al. Stages of motor output reorganization after hemispheric stroke suggested by longitudinal studies of cortical physiology J . </w:t>
      </w:r>
      <w:r>
        <w:rPr>
          <w:rFonts w:ascii="Arial" w:cs="Arial" w:eastAsia="Arial" w:hAnsi="Arial"/>
          <w:sz w:val="18"/>
          <w:szCs w:val="18"/>
          <w:i w:val="1"/>
          <w:iCs w:val="1"/>
          <w:color w:val="auto"/>
        </w:rPr>
        <w:t>Comp</w:t>
      </w:r>
      <w:r>
        <w:rPr>
          <w:rFonts w:ascii="Arial" w:cs="Arial" w:eastAsia="Arial" w:hAnsi="Arial"/>
          <w:sz w:val="18"/>
          <w:szCs w:val="18"/>
          <w:color w:val="auto"/>
        </w:rPr>
        <w:t xml:space="preserve"> </w:t>
      </w:r>
      <w:r>
        <w:rPr>
          <w:rFonts w:ascii="Arial" w:cs="Arial" w:eastAsia="Arial" w:hAnsi="Arial"/>
          <w:sz w:val="18"/>
          <w:szCs w:val="18"/>
          <w:i w:val="1"/>
          <w:iCs w:val="1"/>
          <w:color w:val="auto"/>
        </w:rPr>
        <w:t>Study Cereb Cortex</w:t>
      </w:r>
      <w:r>
        <w:rPr>
          <w:rFonts w:ascii="Arial" w:cs="Arial" w:eastAsia="Arial" w:hAnsi="Arial"/>
          <w:sz w:val="18"/>
          <w:szCs w:val="18"/>
          <w:color w:val="auto"/>
        </w:rPr>
        <w:t>.</w:t>
      </w:r>
      <w:r>
        <w:rPr>
          <w:rFonts w:ascii="Arial" w:cs="Arial" w:eastAsia="Arial" w:hAnsi="Arial"/>
          <w:sz w:val="18"/>
          <w:szCs w:val="18"/>
          <w:i w:val="1"/>
          <w:iCs w:val="1"/>
          <w:color w:val="auto"/>
        </w:rPr>
        <w:t xml:space="preserve"> </w:t>
      </w:r>
      <w:hyperlink w:anchor="page12">
        <w:r>
          <w:rPr>
            <w:rFonts w:ascii="Arial" w:cs="Arial" w:eastAsia="Arial" w:hAnsi="Arial"/>
            <w:sz w:val="18"/>
            <w:szCs w:val="18"/>
            <w:color w:val="000080"/>
          </w:rPr>
          <w:t>2008</w:t>
        </w:r>
      </w:hyperlink>
      <w:r>
        <w:rPr>
          <w:rFonts w:ascii="Arial" w:cs="Arial" w:eastAsia="Arial" w:hAnsi="Arial"/>
          <w:sz w:val="18"/>
          <w:szCs w:val="18"/>
          <w:color w:val="auto"/>
        </w:rPr>
        <w:t>;18(8):1909–1922.</w:t>
      </w:r>
      <w:r>
        <w:rPr>
          <w:rFonts w:ascii="Arial" w:cs="Arial" w:eastAsia="Arial" w:hAnsi="Arial"/>
          <w:sz w:val="18"/>
          <w:szCs w:val="18"/>
          <w:i w:val="1"/>
          <w:iCs w:val="1"/>
          <w:color w:val="auto"/>
        </w:rPr>
        <w:t xml:space="preserve"> </w:t>
      </w:r>
      <w:r>
        <w:rPr>
          <w:rFonts w:ascii="Arial" w:cs="Arial" w:eastAsia="Arial" w:hAnsi="Arial"/>
          <w:sz w:val="18"/>
          <w:szCs w:val="18"/>
          <w:color w:val="auto"/>
        </w:rPr>
        <w:t>doi:</w:t>
      </w:r>
      <w:hyperlink r:id="rId88">
        <w:r>
          <w:rPr>
            <w:rFonts w:ascii="Arial" w:cs="Arial" w:eastAsia="Arial" w:hAnsi="Arial"/>
            <w:sz w:val="18"/>
            <w:szCs w:val="18"/>
            <w:color w:val="000080"/>
          </w:rPr>
          <w:t>10.1093/</w:t>
        </w:r>
      </w:hyperlink>
      <w:r>
        <w:rPr>
          <w:rFonts w:ascii="Arial" w:cs="Arial" w:eastAsia="Arial" w:hAnsi="Arial"/>
          <w:sz w:val="18"/>
          <w:szCs w:val="18"/>
          <w:i w:val="1"/>
          <w:iCs w:val="1"/>
          <w:color w:val="auto"/>
        </w:rPr>
        <w:t xml:space="preserve"> </w:t>
      </w:r>
      <w:hyperlink r:id="rId88">
        <w:r>
          <w:rPr>
            <w:rFonts w:ascii="Arial" w:cs="Arial" w:eastAsia="Arial" w:hAnsi="Arial"/>
            <w:sz w:val="18"/>
            <w:szCs w:val="18"/>
            <w:color w:val="000080"/>
          </w:rPr>
          <w:t>cercor/bhm218</w:t>
        </w:r>
      </w:hyperlink>
      <w:r>
        <w:rPr>
          <w:rFonts w:ascii="Arial" w:cs="Arial" w:eastAsia="Arial" w:hAnsi="Arial"/>
          <w:sz w:val="18"/>
          <w:szCs w:val="18"/>
          <w:color w:val="000000"/>
        </w:rPr>
        <w:t>.</w:t>
      </w:r>
    </w:p>
    <w:sectPr>
      <w:pgSz w:w="11880" w:h="15840" w:orient="portrait"/>
      <w:cols w:equalWidth="0" w:num="2">
        <w:col w:w="4576" w:space="524"/>
        <w:col w:w="4576"/>
      </w:cols>
      <w:pgMar w:left="1184" w:top="520" w:right="10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400001FF" w:csb1="FFFF0000"/>
  </w:font>
  <w:font w:name="Arial">
    <w:panose1 w:val="020B0604020202020204"/>
    <w:charset w:val="A1"/>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nsid w:val="41BB"/>
    <w:multiLevelType w:val="hybridMultilevel"/>
    <w:lvl w:ilvl="0">
      <w:lvlJc w:val="left"/>
      <w:lvlText w:val="(%1)"/>
      <w:numFmt w:val="decimal"/>
      <w:start w:val="3"/>
    </w:lvl>
  </w:abstractNum>
  <w:abstractNum w:abstractNumId="1">
    <w:nsid w:val="26E9"/>
    <w:multiLevelType w:val="hybridMultilevel"/>
    <w:lvl w:ilvl="0">
      <w:lvlJc w:val="left"/>
      <w:lvlText w:val="(%1)"/>
      <w:numFmt w:val="decimal"/>
      <w:start w:val="1"/>
    </w:lvl>
  </w:abstractNum>
  <w:abstractNum w:abstractNumId="2">
    <w:nsid w:val="1EB"/>
    <w:multiLevelType w:val="hybridMultilevel"/>
    <w:lvl w:ilvl="0">
      <w:lvlJc w:val="left"/>
      <w:lvlText w:val="±"/>
      <w:numFmt w:val="bullet"/>
      <w:start w:val="1"/>
    </w:lvl>
  </w:abstractNum>
  <w:abstractNum w:abstractNumId="3">
    <w:nsid w:val="BB3"/>
    <w:multiLevelType w:val="hybridMultilevel"/>
    <w:lvl w:ilvl="0">
      <w:lvlJc w:val="left"/>
      <w:lvlText w:val="%1."/>
      <w:numFmt w:val="decimal"/>
      <w:start w:val="1"/>
    </w:lvl>
  </w:abstractNum>
  <w:abstractNum w:abstractNumId="4">
    <w:nsid w:val="2EA6"/>
    <w:multiLevelType w:val="hybridMultilevel"/>
    <w:lvl w:ilvl="0">
      <w:lvlJc w:val="left"/>
      <w:lvlText w:val="%1."/>
      <w:numFmt w:val="decimal"/>
      <w:start w:val="5"/>
    </w:lvl>
  </w:abstractNum>
  <w:abstractNum w:abstractNumId="5">
    <w:nsid w:val="12DB"/>
    <w:multiLevelType w:val="hybridMultilevel"/>
    <w:lvl w:ilvl="0">
      <w:lvlJc w:val="left"/>
      <w:lvlText w:val="%1."/>
      <w:numFmt w:val="decimal"/>
      <w:start w:val="19"/>
    </w:lvl>
  </w:abstractNum>
  <w:abstractNum w:abstractNumId="6">
    <w:nsid w:val="153C"/>
    <w:multiLevelType w:val="hybridMultilevel"/>
    <w:lvl w:ilvl="0">
      <w:lvlJc w:val="left"/>
      <w:lvlText w:val="%1."/>
      <w:numFmt w:val="decimal"/>
      <w:start w:val="27"/>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1" Type="http://schemas.openxmlformats.org/officeDocument/2006/relationships/image" Target="media/image3.png"/><Relationship Id="rId14" Type="http://schemas.openxmlformats.org/officeDocument/2006/relationships/image" Target="media/image4.jpeg"/><Relationship Id="rId15" Type="http://schemas.openxmlformats.org/officeDocument/2006/relationships/image" Target="media/image5.png"/><Relationship Id="rId16"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image" Target="media/image8.png"/><Relationship Id="rId20" Type="http://schemas.openxmlformats.org/officeDocument/2006/relationships/image" Target="media/image9.jpeg"/><Relationship Id="rId21" Type="http://schemas.openxmlformats.org/officeDocument/2006/relationships/image" Target="media/image10.png"/><Relationship Id="rId22" Type="http://schemas.openxmlformats.org/officeDocument/2006/relationships/image" Target="media/image11.jpeg"/><Relationship Id="rId24" Type="http://schemas.openxmlformats.org/officeDocument/2006/relationships/image" Target="media/image12.jpeg"/><Relationship Id="rId25" Type="http://schemas.openxmlformats.org/officeDocument/2006/relationships/image" Target="media/image13.png"/><Relationship Id="rId26" Type="http://schemas.openxmlformats.org/officeDocument/2006/relationships/image" Target="media/image14.jpeg"/><Relationship Id="rId28" Type="http://schemas.openxmlformats.org/officeDocument/2006/relationships/image" Target="media/image15.jpeg"/><Relationship Id="rId29" Type="http://schemas.openxmlformats.org/officeDocument/2006/relationships/image" Target="media/image16.png"/><Relationship Id="rId31" Type="http://schemas.openxmlformats.org/officeDocument/2006/relationships/image" Target="media/image17.png"/><Relationship Id="rId32" Type="http://schemas.openxmlformats.org/officeDocument/2006/relationships/image" Target="media/image18.png"/><Relationship Id="rId33" Type="http://schemas.openxmlformats.org/officeDocument/2006/relationships/image" Target="media/image19.png"/><Relationship Id="rId34" Type="http://schemas.openxmlformats.org/officeDocument/2006/relationships/image" Target="media/image20.png"/><Relationship Id="rId35" Type="http://schemas.openxmlformats.org/officeDocument/2006/relationships/image" Target="media/image21.png"/><Relationship Id="rId36" Type="http://schemas.openxmlformats.org/officeDocument/2006/relationships/image" Target="media/image22.png"/><Relationship Id="rId37" Type="http://schemas.openxmlformats.org/officeDocument/2006/relationships/image" Target="media/image23.png"/><Relationship Id="rId38" Type="http://schemas.openxmlformats.org/officeDocument/2006/relationships/image" Target="media/image24.jpeg"/><Relationship Id="rId39" Type="http://schemas.openxmlformats.org/officeDocument/2006/relationships/image" Target="media/image25.png"/><Relationship Id="rId40" Type="http://schemas.openxmlformats.org/officeDocument/2006/relationships/image" Target="media/image26.jpeg"/><Relationship Id="rId41" Type="http://schemas.openxmlformats.org/officeDocument/2006/relationships/image" Target="media/image27.png"/><Relationship Id="rId42" Type="http://schemas.openxmlformats.org/officeDocument/2006/relationships/image" Target="media/image28.png"/><Relationship Id="rId43" Type="http://schemas.openxmlformats.org/officeDocument/2006/relationships/image" Target="media/image29.png"/><Relationship Id="rId44" Type="http://schemas.openxmlformats.org/officeDocument/2006/relationships/image" Target="media/image30.jpeg"/><Relationship Id="rId45" Type="http://schemas.openxmlformats.org/officeDocument/2006/relationships/image" Target="media/image31.png"/><Relationship Id="rId46" Type="http://schemas.openxmlformats.org/officeDocument/2006/relationships/image" Target="media/image32.jpeg"/><Relationship Id="rId47" Type="http://schemas.openxmlformats.org/officeDocument/2006/relationships/image" Target="media/image33.png"/><Relationship Id="rId48" Type="http://schemas.openxmlformats.org/officeDocument/2006/relationships/image" Target="media/image34.png"/><Relationship Id="rId49" Type="http://schemas.openxmlformats.org/officeDocument/2006/relationships/image" Target="media/image35.jpeg"/><Relationship Id="rId50" Type="http://schemas.openxmlformats.org/officeDocument/2006/relationships/image" Target="media/image36.png"/><Relationship Id="rId51" Type="http://schemas.openxmlformats.org/officeDocument/2006/relationships/image" Target="media/image37.jpeg"/><Relationship Id="rId52" Type="http://schemas.openxmlformats.org/officeDocument/2006/relationships/image" Target="media/image38.png"/><Relationship Id="rId53" Type="http://schemas.openxmlformats.org/officeDocument/2006/relationships/image" Target="media/image39.png"/><Relationship Id="rId54" Type="http://schemas.openxmlformats.org/officeDocument/2006/relationships/image" Target="media/image40.png"/><Relationship Id="rId80" Type="http://schemas.openxmlformats.org/officeDocument/2006/relationships/image" Target="media/image41.png"/><Relationship Id="rId10" Type="http://schemas.openxmlformats.org/officeDocument/2006/relationships/hyperlink" Target="https://www.tandfonline.com/loi/ytsr20" TargetMode="External"/><Relationship Id="rId12" Type="http://schemas.openxmlformats.org/officeDocument/2006/relationships/hyperlink" Target="https://www.tandfonline.com/action/showCitFormats?doi=10.1080/10749357.2022.2051829" TargetMode="External"/><Relationship Id="rId13" Type="http://schemas.openxmlformats.org/officeDocument/2006/relationships/hyperlink" Target="https://doi.org/10.1080/10749357.2022.2051829" TargetMode="External"/><Relationship Id="rId17" Type="http://schemas.openxmlformats.org/officeDocument/2006/relationships/hyperlink" Target="https://www.tandfonline.com/action/authorSubmission?journalCode=ytsr20&amp;show=instructions" TargetMode="External"/><Relationship Id="rId23" Type="http://schemas.openxmlformats.org/officeDocument/2006/relationships/hyperlink" Target="https://www.tandfonline.com/doi/mlt/10.1080/10749357.2022.2051829" TargetMode="External"/><Relationship Id="rId27" Type="http://schemas.openxmlformats.org/officeDocument/2006/relationships/hyperlink" Target="http://crossmark.crossref.org/dialog/?doi=10.1080/10749357.2022.2051829&amp;domain=pdf&amp;date_stamp=2022-03-20" TargetMode="External"/><Relationship Id="rId30" Type="http://schemas.openxmlformats.org/officeDocument/2006/relationships/hyperlink" Target="https://www.tandfonline.com/action/journalInformation?journalCode=ytsr20" TargetMode="External"/><Relationship Id="rId55" Type="http://schemas.openxmlformats.org/officeDocument/2006/relationships/hyperlink" Target="https://doi.org/10.1016/j.pmr.2015.06.008" TargetMode="External"/><Relationship Id="rId56" Type="http://schemas.openxmlformats.org/officeDocument/2006/relationships/hyperlink" Target="https://doi.org/10.1100/tsw.2007.299" TargetMode="External"/><Relationship Id="rId57" Type="http://schemas.openxmlformats.org/officeDocument/2006/relationships/hyperlink" Target="https://doi.org/10.1002/ana.21393" TargetMode="External"/><Relationship Id="rId58" Type="http://schemas.openxmlformats.org/officeDocument/2006/relationships/hyperlink" Target="https://doi.org/10.1272/jnms.82.4" TargetMode="External"/><Relationship Id="rId59" Type="http://schemas.openxmlformats.org/officeDocument/2006/relationships/hyperlink" Target="https://doi.org/10.1177/1073858403262152" TargetMode="External"/><Relationship Id="rId60" Type="http://schemas.openxmlformats.org/officeDocument/2006/relationships/hyperlink" Target="https://doi.org/10.1016/j.clineuro.2018.02.017" TargetMode="External"/><Relationship Id="rId61" Type="http://schemas.openxmlformats.org/officeDocument/2006/relationships/hyperlink" Target="https://doi.org/10.1161/hs1101.097401" TargetMode="External"/><Relationship Id="rId62" Type="http://schemas.openxmlformats.org/officeDocument/2006/relationships/hyperlink" Target="https://doi.org/10.1161/01.STR.31.3.656" TargetMode="External"/><Relationship Id="rId63" Type="http://schemas.openxmlformats.org/officeDocument/2006/relationships/hyperlink" Target="https://doi.org/10.1016/j.neuroimage.2011.01.014" TargetMode="External"/><Relationship Id="rId64" Type="http://schemas.openxmlformats.org/officeDocument/2006/relationships/hyperlink" Target="https://doi.org/10.1002/ana.20099" TargetMode="External"/><Relationship Id="rId65" Type="http://schemas.openxmlformats.org/officeDocument/2006/relationships/hyperlink" Target="https://doi.org/10.1093/brain/awf091" TargetMode="External"/><Relationship Id="rId66" Type="http://schemas.openxmlformats.org/officeDocument/2006/relationships/hyperlink" Target="https://doi.org/10.1093/brain/awg245" TargetMode="External"/><Relationship Id="rId67" Type="http://schemas.openxmlformats.org/officeDocument/2006/relationships/hyperlink" Target="https://doi.org/10.1523/JNEUROSCI.23-02-00510.2003" TargetMode="External"/><Relationship Id="rId68" Type="http://schemas.openxmlformats.org/officeDocument/2006/relationships/hyperlink" Target="https://doi.org/10.1016/j.neuroimage.2003.08.017" TargetMode="External"/><Relationship Id="rId69" Type="http://schemas.openxmlformats.org/officeDocument/2006/relationships/hyperlink" Target="https://doi.org/10.11477/mf.1416200591" TargetMode="External"/><Relationship Id="rId70" Type="http://schemas.openxmlformats.org/officeDocument/2006/relationships/hyperlink" Target="https://doi.org/10.1523/JNEUROSCI.4147-07.2008" TargetMode="External"/><Relationship Id="rId71" Type="http://schemas.openxmlformats.org/officeDocument/2006/relationships/hyperlink" Target="https://doi.org/10.1016/s1047-9651(03)00124-4" TargetMode="External"/><Relationship Id="rId72" Type="http://schemas.openxmlformats.org/officeDocument/2006/relationships/hyperlink" Target="https://doi.org/10.1097/WCO.0b013e3283598473" TargetMode="External"/><Relationship Id="rId73" Type="http://schemas.openxmlformats.org/officeDocument/2006/relationships/hyperlink" Target="https://doi.org/10.1073/pnas.222536799" TargetMode="External"/><Relationship Id="rId74" Type="http://schemas.openxmlformats.org/officeDocument/2006/relationships/hyperlink" Target="https://doi.org/10.1093/brain/awaa023" TargetMode="External"/><Relationship Id="rId75" Type="http://schemas.openxmlformats.org/officeDocument/2006/relationships/hyperlink" Target="https://doi.org/10.1016/j.neuroimage.2005.06.033" TargetMode="External"/><Relationship Id="rId76" Type="http://schemas.openxmlformats.org/officeDocument/2006/relationships/hyperlink" Target="https://doi.org/10.1002/ana.10848" TargetMode="External"/><Relationship Id="rId77" Type="http://schemas.openxmlformats.org/officeDocument/2006/relationships/hyperlink" Target="https://doi.org/10.1016/j.neuron.2007.04.021" TargetMode="External"/><Relationship Id="rId78" Type="http://schemas.openxmlformats.org/officeDocument/2006/relationships/hyperlink" Target="https://doi.org/10.1016/j.nicl.2017.03.005" TargetMode="External"/><Relationship Id="rId79" Type="http://schemas.openxmlformats.org/officeDocument/2006/relationships/hyperlink" Target="https://doi.org/10.1136/jnnp.74.8.1152" TargetMode="External"/><Relationship Id="rId81" Type="http://schemas.openxmlformats.org/officeDocument/2006/relationships/hyperlink" Target="https://doi.org/10.1017/S0317167100042542" TargetMode="External"/><Relationship Id="rId82" Type="http://schemas.openxmlformats.org/officeDocument/2006/relationships/hyperlink" Target="https://doi.org/10.1001/archneur.62.5.809" TargetMode="External"/><Relationship Id="rId83" Type="http://schemas.openxmlformats.org/officeDocument/2006/relationships/hyperlink" Target="https://doi.org/10.1016/j.neuroimage.2016.09.016" TargetMode="External"/><Relationship Id="rId84" Type="http://schemas.openxmlformats.org/officeDocument/2006/relationships/hyperlink" Target="https://doi.org/10.1007/s13311-018-0638-z" TargetMode="External"/><Relationship Id="rId85" Type="http://schemas.openxmlformats.org/officeDocument/2006/relationships/hyperlink" Target="https://doi.org/10.1016/S1388-2457(02)00417-0" TargetMode="External"/><Relationship Id="rId86" Type="http://schemas.openxmlformats.org/officeDocument/2006/relationships/hyperlink" Target="https://doi.org/10.1016/0028-3932(89)90071-7" TargetMode="External"/><Relationship Id="rId87" Type="http://schemas.openxmlformats.org/officeDocument/2006/relationships/hyperlink" Target="https://doi.org/10.1093/brain/awh133" TargetMode="External"/><Relationship Id="rId88" Type="http://schemas.openxmlformats.org/officeDocument/2006/relationships/hyperlink" Target="https://doi.org/10.1093/cercor/bhm218"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2022-06-06T22:11:28Z</dcterms:created>
  <dcterms:modified xsi:type="dcterms:W3CDTF">2022-06-06T22:11:28Z</dcterms:modified>
</cp:coreProperties>
</file>